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C20B" w14:textId="77777777" w:rsidR="00E50311" w:rsidRPr="00382D00" w:rsidRDefault="00E50311" w:rsidP="00E50311">
      <w:pPr>
        <w:jc w:val="center"/>
        <w:rPr>
          <w:rFonts w:ascii="DINPro-Regular" w:hAnsi="DINPro-Regular"/>
          <w:b/>
          <w:bCs/>
          <w:sz w:val="27"/>
          <w:szCs w:val="28"/>
        </w:rPr>
      </w:pPr>
      <w:bookmarkStart w:id="0" w:name="_Hlk11319742"/>
      <w:r w:rsidRPr="00382D00">
        <w:rPr>
          <w:rFonts w:ascii="DINPro-Regular" w:hAnsi="DINPro-Regular"/>
          <w:b/>
          <w:bCs/>
          <w:sz w:val="27"/>
          <w:szCs w:val="28"/>
        </w:rPr>
        <w:t>1203.9 PC - Best Practices</w:t>
      </w:r>
    </w:p>
    <w:p w14:paraId="75CAEF6B" w14:textId="77777777" w:rsidR="00E50311" w:rsidRPr="00382D00" w:rsidRDefault="00E50311" w:rsidP="00E50311">
      <w:pPr>
        <w:rPr>
          <w:rFonts w:ascii="DINPro-Regular" w:hAnsi="DINPro-Regular"/>
          <w:sz w:val="23"/>
          <w:szCs w:val="23"/>
        </w:rPr>
      </w:pPr>
    </w:p>
    <w:p w14:paraId="054FCA65" w14:textId="47100C2D" w:rsidR="00E50311" w:rsidRPr="0007753E" w:rsidRDefault="00E50311" w:rsidP="00E50311">
      <w:r w:rsidRPr="00382D00">
        <w:rPr>
          <w:rFonts w:ascii="DINPro-Regular" w:hAnsi="DINPro-Regular"/>
          <w:b/>
          <w:bCs/>
          <w:i/>
          <w:iCs/>
          <w:sz w:val="23"/>
          <w:szCs w:val="23"/>
        </w:rPr>
        <w:t xml:space="preserve">Purpose: The statutory requirements governing the jurisdictional transfer of probation and mandatory supervision cases are minimal and clearly outlined in Penal Code Section 1203.9 and California Rule of Court 4.530. Beyond the requirements in the code and </w:t>
      </w:r>
      <w:proofErr w:type="gramStart"/>
      <w:r w:rsidRPr="00382D00">
        <w:rPr>
          <w:rFonts w:ascii="DINPro-Regular" w:hAnsi="DINPro-Regular"/>
          <w:b/>
          <w:bCs/>
          <w:i/>
          <w:iCs/>
          <w:sz w:val="23"/>
          <w:szCs w:val="23"/>
        </w:rPr>
        <w:t>in an effort to</w:t>
      </w:r>
      <w:proofErr w:type="gramEnd"/>
      <w:r w:rsidRPr="00382D00">
        <w:rPr>
          <w:rFonts w:ascii="DINPro-Regular" w:hAnsi="DINPro-Regular"/>
          <w:b/>
          <w:bCs/>
          <w:i/>
          <w:iCs/>
          <w:sz w:val="23"/>
          <w:szCs w:val="23"/>
        </w:rPr>
        <w:t xml:space="preserve"> comply with the legislature's intent that, "...all those transfers shall be completed expeditiously," the following best practices have been developed. The intent of these best practices is to provide guidance to all 58 counties to limit problems and complications and promote communication between jurisdictions in the event of any issues. It is important to remember these best practices are guidelines, and no jurisdictional transfer should be found inappropriate unless factors are met as outlined in the Penal Code and Rules of Court. </w:t>
      </w:r>
      <w:r w:rsidR="0007753E" w:rsidRPr="00545DCF">
        <w:rPr>
          <w:b/>
          <w:bCs/>
          <w:i/>
          <w:iCs/>
          <w:color w:val="FF0000"/>
        </w:rPr>
        <w:t>Sending county to resolve AB 1950 disposition before transfer</w:t>
      </w:r>
      <w:r w:rsidR="00586CDF">
        <w:rPr>
          <w:b/>
          <w:bCs/>
          <w:i/>
          <w:iCs/>
          <w:color w:val="FF0000"/>
        </w:rPr>
        <w:t xml:space="preserve">. </w:t>
      </w:r>
      <w:r w:rsidR="00586CDF" w:rsidRPr="00BC7E4C">
        <w:rPr>
          <w:b/>
          <w:bCs/>
          <w:i/>
          <w:iCs/>
          <w:color w:val="FF0000"/>
        </w:rPr>
        <w:t>Consistent with statute, the Prop 63 investigation should be completed prior to initiating a 1203.9 transfer</w:t>
      </w:r>
      <w:r w:rsidR="00BC7E4C" w:rsidRPr="00BC7E4C">
        <w:rPr>
          <w:b/>
          <w:bCs/>
          <w:i/>
          <w:iCs/>
          <w:color w:val="FF0000"/>
        </w:rPr>
        <w:t>.</w:t>
      </w:r>
    </w:p>
    <w:p w14:paraId="6114352B" w14:textId="77777777" w:rsidR="00E50311" w:rsidRPr="00382D00" w:rsidRDefault="00E50311" w:rsidP="00E50311">
      <w:pPr>
        <w:rPr>
          <w:rFonts w:ascii="DINPro-Regular" w:hAnsi="DINPro-Regular"/>
          <w:sz w:val="23"/>
          <w:szCs w:val="23"/>
        </w:rPr>
      </w:pPr>
    </w:p>
    <w:p w14:paraId="5F48A077" w14:textId="77777777" w:rsidR="00E50311" w:rsidRPr="00382D00" w:rsidRDefault="00E50311" w:rsidP="00E50311">
      <w:pPr>
        <w:rPr>
          <w:rFonts w:ascii="DINPro-Regular" w:hAnsi="DINPro-Regular"/>
          <w:b/>
          <w:bCs/>
          <w:color w:val="FF0000"/>
          <w:sz w:val="23"/>
          <w:szCs w:val="23"/>
        </w:rPr>
      </w:pPr>
      <w:r w:rsidRPr="00382D00">
        <w:rPr>
          <w:rFonts w:ascii="DINPro-Regular" w:hAnsi="DINPro-Regular"/>
          <w:b/>
          <w:bCs/>
          <w:color w:val="FF0000"/>
          <w:sz w:val="23"/>
          <w:szCs w:val="23"/>
        </w:rPr>
        <w:t>MINIMUM REQUIREMENT(S) TO TRANFER A CASE</w:t>
      </w:r>
    </w:p>
    <w:p w14:paraId="0040DA03" w14:textId="77777777" w:rsidR="00E50311" w:rsidRPr="00382D00" w:rsidRDefault="00E50311" w:rsidP="00E50311">
      <w:pPr>
        <w:pStyle w:val="ListParagraph"/>
        <w:numPr>
          <w:ilvl w:val="0"/>
          <w:numId w:val="16"/>
        </w:numPr>
        <w:rPr>
          <w:rFonts w:ascii="DINPro-Regular" w:hAnsi="DINPro-Regular"/>
          <w:color w:val="FF0000"/>
          <w:sz w:val="23"/>
          <w:szCs w:val="23"/>
        </w:rPr>
      </w:pPr>
      <w:r w:rsidRPr="00382D00">
        <w:rPr>
          <w:rFonts w:ascii="DINPro-Regular" w:hAnsi="DINPro-Regular"/>
          <w:color w:val="FF0000"/>
          <w:sz w:val="23"/>
          <w:szCs w:val="23"/>
        </w:rPr>
        <w:t xml:space="preserve">Filed Notice and Motion </w:t>
      </w:r>
      <w:proofErr w:type="gramStart"/>
      <w:r w:rsidRPr="00382D00">
        <w:rPr>
          <w:rFonts w:ascii="DINPro-Regular" w:hAnsi="DINPro-Regular"/>
          <w:color w:val="FF0000"/>
          <w:sz w:val="23"/>
          <w:szCs w:val="23"/>
        </w:rPr>
        <w:t>For</w:t>
      </w:r>
      <w:proofErr w:type="gramEnd"/>
      <w:r w:rsidRPr="00382D00">
        <w:rPr>
          <w:rFonts w:ascii="DINPro-Regular" w:hAnsi="DINPro-Regular"/>
          <w:color w:val="FF0000"/>
          <w:sz w:val="23"/>
          <w:szCs w:val="23"/>
        </w:rPr>
        <w:t xml:space="preserve"> Transfer (Form CR250)</w:t>
      </w:r>
    </w:p>
    <w:p w14:paraId="52F86454" w14:textId="77777777" w:rsidR="00E50311" w:rsidRPr="00382D00" w:rsidRDefault="00E50311" w:rsidP="00E50311">
      <w:pPr>
        <w:pStyle w:val="ListParagraph"/>
        <w:numPr>
          <w:ilvl w:val="0"/>
          <w:numId w:val="16"/>
        </w:numPr>
        <w:rPr>
          <w:rFonts w:ascii="DINPro-Regular" w:hAnsi="DINPro-Regular"/>
          <w:color w:val="FF0000"/>
          <w:sz w:val="23"/>
          <w:szCs w:val="23"/>
        </w:rPr>
      </w:pPr>
      <w:r w:rsidRPr="00382D00">
        <w:rPr>
          <w:rFonts w:ascii="DINPro-Regular" w:hAnsi="DINPro-Regular"/>
          <w:color w:val="FF0000"/>
          <w:sz w:val="23"/>
          <w:szCs w:val="23"/>
        </w:rPr>
        <w:t>Filed Order for Transfer (Form CR251)</w:t>
      </w:r>
    </w:p>
    <w:p w14:paraId="1E2DD00C" w14:textId="77777777" w:rsidR="00E50311" w:rsidRPr="00382D00" w:rsidRDefault="00E50311" w:rsidP="00E50311">
      <w:pPr>
        <w:pStyle w:val="ListParagraph"/>
        <w:numPr>
          <w:ilvl w:val="0"/>
          <w:numId w:val="14"/>
        </w:numPr>
        <w:rPr>
          <w:rFonts w:ascii="DINPro-Regular" w:hAnsi="DINPro-Regular"/>
          <w:color w:val="FF0000"/>
          <w:sz w:val="23"/>
          <w:szCs w:val="23"/>
        </w:rPr>
      </w:pPr>
      <w:r w:rsidRPr="00382D00">
        <w:rPr>
          <w:rFonts w:ascii="DINPro-Regular" w:hAnsi="DINPro-Regular"/>
          <w:color w:val="FF0000"/>
          <w:sz w:val="23"/>
          <w:szCs w:val="23"/>
        </w:rPr>
        <w:t xml:space="preserve">Court Order, Probation or Mandatory Supervision reports and case plans </w:t>
      </w:r>
    </w:p>
    <w:p w14:paraId="5E9322F1" w14:textId="77777777" w:rsidR="00E50311" w:rsidRPr="00382D00" w:rsidRDefault="00E50311" w:rsidP="00E50311">
      <w:pPr>
        <w:rPr>
          <w:rFonts w:ascii="DINPro-Regular" w:hAnsi="DINPro-Regular"/>
          <w:color w:val="FF0000"/>
          <w:sz w:val="23"/>
          <w:szCs w:val="23"/>
        </w:rPr>
      </w:pPr>
    </w:p>
    <w:p w14:paraId="4DB0556F" w14:textId="77777777" w:rsidR="00E50311" w:rsidRPr="00382D00" w:rsidRDefault="00E50311" w:rsidP="00E50311">
      <w:pPr>
        <w:rPr>
          <w:rFonts w:ascii="DINPro-Regular" w:hAnsi="DINPro-Regular"/>
          <w:b/>
          <w:bCs/>
          <w:color w:val="FF0000"/>
          <w:sz w:val="23"/>
          <w:szCs w:val="23"/>
        </w:rPr>
      </w:pPr>
      <w:r w:rsidRPr="00382D00">
        <w:rPr>
          <w:rFonts w:ascii="DINPro-Regular" w:hAnsi="DINPro-Regular"/>
          <w:b/>
          <w:bCs/>
          <w:color w:val="FF0000"/>
          <w:sz w:val="23"/>
          <w:szCs w:val="23"/>
        </w:rPr>
        <w:t>MINIMUM REQUIREMENT IF CASE INAPPROPRIATE FOR TRANSFER</w:t>
      </w:r>
    </w:p>
    <w:p w14:paraId="00CA7405" w14:textId="77777777" w:rsidR="00E50311" w:rsidRPr="00382D00" w:rsidRDefault="00E50311" w:rsidP="00E50311">
      <w:pPr>
        <w:pStyle w:val="ListParagraph"/>
        <w:numPr>
          <w:ilvl w:val="0"/>
          <w:numId w:val="18"/>
        </w:numPr>
        <w:rPr>
          <w:rFonts w:ascii="DINPro-Regular" w:hAnsi="DINPro-Regular"/>
          <w:color w:val="FF0000"/>
          <w:sz w:val="23"/>
          <w:szCs w:val="23"/>
        </w:rPr>
      </w:pPr>
      <w:r w:rsidRPr="00382D00">
        <w:rPr>
          <w:rFonts w:ascii="DINPro-Regular" w:hAnsi="DINPro-Regular"/>
          <w:color w:val="FF0000"/>
          <w:sz w:val="23"/>
          <w:szCs w:val="23"/>
        </w:rPr>
        <w:t>Filed Receiving Court Comment (Form CR252)</w:t>
      </w:r>
    </w:p>
    <w:p w14:paraId="71D19E7C" w14:textId="77777777" w:rsidR="00E50311" w:rsidRPr="00382D00" w:rsidRDefault="00E50311" w:rsidP="00E50311">
      <w:pPr>
        <w:rPr>
          <w:rFonts w:ascii="DINPro-Regular" w:hAnsi="DINPro-Regular"/>
          <w:sz w:val="23"/>
          <w:szCs w:val="23"/>
        </w:rPr>
      </w:pPr>
    </w:p>
    <w:p w14:paraId="11B9DD82" w14:textId="77777777" w:rsidR="00E50311" w:rsidRPr="00382D00" w:rsidRDefault="00E50311" w:rsidP="00E50311">
      <w:pPr>
        <w:pStyle w:val="ListParagraph"/>
        <w:numPr>
          <w:ilvl w:val="0"/>
          <w:numId w:val="21"/>
        </w:numPr>
        <w:ind w:left="270" w:hanging="270"/>
        <w:rPr>
          <w:rFonts w:ascii="DINPro-Regular" w:hAnsi="DINPro-Regular"/>
          <w:b/>
          <w:bCs/>
          <w:sz w:val="23"/>
          <w:szCs w:val="23"/>
        </w:rPr>
      </w:pPr>
      <w:r w:rsidRPr="00382D00">
        <w:rPr>
          <w:rFonts w:ascii="DINPro-Regular" w:hAnsi="DINPro-Regular"/>
          <w:b/>
          <w:bCs/>
          <w:sz w:val="23"/>
          <w:szCs w:val="23"/>
        </w:rPr>
        <w:t>Prior To The Transfer Hearing</w:t>
      </w:r>
    </w:p>
    <w:p w14:paraId="227376CE" w14:textId="77777777" w:rsidR="00E50311" w:rsidRPr="00382D00" w:rsidRDefault="00E50311" w:rsidP="00E50311">
      <w:pPr>
        <w:rPr>
          <w:rFonts w:ascii="DINPro-Regular" w:hAnsi="DINPro-Regular"/>
          <w:sz w:val="23"/>
          <w:szCs w:val="23"/>
        </w:rPr>
      </w:pPr>
    </w:p>
    <w:p w14:paraId="42A1879D" w14:textId="77777777" w:rsidR="00E50311" w:rsidRPr="00382D00" w:rsidRDefault="00E50311" w:rsidP="00E50311">
      <w:pPr>
        <w:ind w:left="720"/>
        <w:rPr>
          <w:rFonts w:ascii="DINPro-Regular" w:hAnsi="DINPro-Regular"/>
          <w:sz w:val="23"/>
          <w:szCs w:val="23"/>
        </w:rPr>
      </w:pPr>
      <w:r w:rsidRPr="00382D00">
        <w:rPr>
          <w:rFonts w:ascii="DINPro-Regular" w:hAnsi="DINPro-Regular"/>
          <w:sz w:val="23"/>
          <w:szCs w:val="23"/>
        </w:rPr>
        <w:t xml:space="preserve">Along with the </w:t>
      </w:r>
      <w:r w:rsidRPr="00382D00">
        <w:rPr>
          <w:rFonts w:ascii="DINPro-Regular" w:hAnsi="DINPro-Regular"/>
          <w:b/>
          <w:bCs/>
          <w:sz w:val="23"/>
          <w:szCs w:val="23"/>
        </w:rPr>
        <w:t>Filed Notice and Motion for Transfer (CR-250)</w:t>
      </w:r>
      <w:r w:rsidRPr="00382D00">
        <w:rPr>
          <w:rFonts w:ascii="DINPro-Regular" w:hAnsi="DINPro-Regular"/>
          <w:sz w:val="23"/>
          <w:szCs w:val="23"/>
        </w:rPr>
        <w:t>, send the receiving county the following documents:</w:t>
      </w:r>
    </w:p>
    <w:p w14:paraId="49DC7684" w14:textId="77777777" w:rsidR="00E50311" w:rsidRPr="00382D00" w:rsidRDefault="00E50311" w:rsidP="00E50311">
      <w:pPr>
        <w:rPr>
          <w:rFonts w:ascii="DINPro-Regular" w:hAnsi="DINPro-Regular"/>
          <w:sz w:val="23"/>
          <w:szCs w:val="23"/>
        </w:rPr>
      </w:pPr>
    </w:p>
    <w:p w14:paraId="29BB6FAF" w14:textId="77777777" w:rsidR="00E50311" w:rsidRPr="00382D00" w:rsidRDefault="00E50311" w:rsidP="00E50311">
      <w:pPr>
        <w:ind w:left="1440"/>
        <w:rPr>
          <w:rFonts w:ascii="DINPro-Regular" w:hAnsi="DINPro-Regular"/>
          <w:sz w:val="23"/>
          <w:szCs w:val="23"/>
        </w:rPr>
      </w:pPr>
      <w:r w:rsidRPr="00382D00">
        <w:rPr>
          <w:rFonts w:ascii="DINPro-Regular" w:hAnsi="DINPro-Regular"/>
          <w:sz w:val="23"/>
          <w:szCs w:val="23"/>
        </w:rPr>
        <w:t>•</w:t>
      </w:r>
      <w:r w:rsidRPr="00382D00">
        <w:rPr>
          <w:rFonts w:ascii="DINPro-Regular" w:hAnsi="DINPro-Regular"/>
          <w:sz w:val="23"/>
          <w:szCs w:val="23"/>
        </w:rPr>
        <w:tab/>
        <w:t>Presentence Investigation Report (if available)</w:t>
      </w:r>
    </w:p>
    <w:p w14:paraId="16B85C3A" w14:textId="77777777" w:rsidR="00E50311" w:rsidRPr="00382D00" w:rsidRDefault="00E50311" w:rsidP="00E50311">
      <w:pPr>
        <w:ind w:left="1440"/>
        <w:rPr>
          <w:rFonts w:ascii="DINPro-Regular" w:hAnsi="DINPro-Regular"/>
          <w:sz w:val="23"/>
          <w:szCs w:val="23"/>
        </w:rPr>
      </w:pPr>
      <w:r w:rsidRPr="00382D00">
        <w:rPr>
          <w:rFonts w:ascii="DINPro-Regular" w:hAnsi="DINPro-Regular"/>
          <w:sz w:val="23"/>
          <w:szCs w:val="23"/>
        </w:rPr>
        <w:t>•</w:t>
      </w:r>
      <w:r w:rsidRPr="00382D00">
        <w:rPr>
          <w:rFonts w:ascii="DINPro-Regular" w:hAnsi="DINPro-Regular"/>
          <w:sz w:val="23"/>
          <w:szCs w:val="23"/>
        </w:rPr>
        <w:tab/>
        <w:t>Original Crime Report (if available)</w:t>
      </w:r>
    </w:p>
    <w:p w14:paraId="39B6D3C5" w14:textId="77777777" w:rsidR="00E50311" w:rsidRPr="00382D00" w:rsidRDefault="00E50311" w:rsidP="00E50311">
      <w:pPr>
        <w:ind w:left="1440"/>
        <w:rPr>
          <w:rFonts w:ascii="DINPro-Regular" w:hAnsi="DINPro-Regular"/>
          <w:sz w:val="23"/>
          <w:szCs w:val="23"/>
        </w:rPr>
      </w:pPr>
      <w:r w:rsidRPr="00382D00">
        <w:rPr>
          <w:rFonts w:ascii="DINPro-Regular" w:hAnsi="DINPro-Regular"/>
          <w:sz w:val="23"/>
          <w:szCs w:val="23"/>
        </w:rPr>
        <w:t>•</w:t>
      </w:r>
      <w:r w:rsidRPr="00382D00">
        <w:rPr>
          <w:rFonts w:ascii="DINPro-Regular" w:hAnsi="DINPro-Regular"/>
          <w:sz w:val="23"/>
          <w:szCs w:val="23"/>
        </w:rPr>
        <w:tab/>
        <w:t xml:space="preserve">Orders For Supervision </w:t>
      </w:r>
      <w:proofErr w:type="gramStart"/>
      <w:r w:rsidRPr="00382D00">
        <w:rPr>
          <w:rFonts w:ascii="DINPro-Regular" w:hAnsi="DINPro-Regular"/>
          <w:sz w:val="23"/>
          <w:szCs w:val="23"/>
        </w:rPr>
        <w:t>And</w:t>
      </w:r>
      <w:proofErr w:type="gramEnd"/>
      <w:r w:rsidRPr="00382D00">
        <w:rPr>
          <w:rFonts w:ascii="DINPro-Regular" w:hAnsi="DINPro-Regular"/>
          <w:sz w:val="23"/>
          <w:szCs w:val="23"/>
        </w:rPr>
        <w:t xml:space="preserve"> Any Subsequent Modifications</w:t>
      </w:r>
    </w:p>
    <w:p w14:paraId="35E6F6F9" w14:textId="0BC49AF4" w:rsidR="00E50311" w:rsidRPr="00382D00" w:rsidRDefault="00E50311" w:rsidP="00586CDF">
      <w:pPr>
        <w:ind w:left="1440"/>
        <w:rPr>
          <w:rFonts w:ascii="DINPro-Regular" w:hAnsi="DINPro-Regular"/>
          <w:sz w:val="23"/>
          <w:szCs w:val="23"/>
        </w:rPr>
      </w:pPr>
      <w:r w:rsidRPr="00382D00">
        <w:rPr>
          <w:rFonts w:ascii="DINPro-Regular" w:hAnsi="DINPro-Regular"/>
          <w:sz w:val="23"/>
          <w:szCs w:val="23"/>
        </w:rPr>
        <w:t>•</w:t>
      </w:r>
      <w:r w:rsidRPr="00382D00">
        <w:rPr>
          <w:rFonts w:ascii="DINPro-Regular" w:hAnsi="DINPro-Regular"/>
          <w:sz w:val="23"/>
          <w:szCs w:val="23"/>
        </w:rPr>
        <w:tab/>
        <w:t xml:space="preserve">Program Completions </w:t>
      </w:r>
    </w:p>
    <w:p w14:paraId="789D7017" w14:textId="77777777" w:rsidR="00E50311" w:rsidRPr="00382D00" w:rsidRDefault="00E50311" w:rsidP="00E50311">
      <w:pPr>
        <w:ind w:left="1440"/>
        <w:rPr>
          <w:rFonts w:ascii="DINPro-Regular" w:hAnsi="DINPro-Regular"/>
          <w:sz w:val="23"/>
          <w:szCs w:val="23"/>
        </w:rPr>
      </w:pPr>
      <w:r w:rsidRPr="00382D00">
        <w:rPr>
          <w:rFonts w:ascii="DINPro-Regular" w:hAnsi="DINPro-Regular"/>
          <w:sz w:val="23"/>
          <w:szCs w:val="23"/>
        </w:rPr>
        <w:t>•</w:t>
      </w:r>
      <w:r w:rsidRPr="00382D00">
        <w:rPr>
          <w:rFonts w:ascii="DINPro-Regular" w:hAnsi="DINPro-Regular"/>
          <w:sz w:val="23"/>
          <w:szCs w:val="23"/>
        </w:rPr>
        <w:tab/>
        <w:t>Custody Credits</w:t>
      </w:r>
    </w:p>
    <w:p w14:paraId="4AE2270E" w14:textId="77777777" w:rsidR="00E50311" w:rsidRPr="00382D00" w:rsidRDefault="00E50311" w:rsidP="00E50311">
      <w:pPr>
        <w:ind w:left="1440"/>
        <w:rPr>
          <w:rFonts w:ascii="DINPro-Regular" w:hAnsi="DINPro-Regular"/>
          <w:sz w:val="23"/>
          <w:szCs w:val="23"/>
        </w:rPr>
      </w:pPr>
      <w:r w:rsidRPr="00382D00">
        <w:rPr>
          <w:rFonts w:ascii="DINPro-Regular" w:hAnsi="DINPro-Regular"/>
          <w:sz w:val="23"/>
          <w:szCs w:val="23"/>
        </w:rPr>
        <w:t>•</w:t>
      </w:r>
      <w:r w:rsidRPr="00382D00">
        <w:rPr>
          <w:rFonts w:ascii="DINPro-Regular" w:hAnsi="DINPro-Regular"/>
          <w:sz w:val="23"/>
          <w:szCs w:val="23"/>
        </w:rPr>
        <w:tab/>
        <w:t>Victim Information</w:t>
      </w:r>
    </w:p>
    <w:p w14:paraId="610111EF" w14:textId="77777777" w:rsidR="00E50311" w:rsidRPr="00382D00" w:rsidRDefault="00E50311" w:rsidP="00E50311">
      <w:pPr>
        <w:ind w:left="1440"/>
        <w:rPr>
          <w:rFonts w:ascii="DINPro-Regular" w:hAnsi="DINPro-Regular"/>
          <w:sz w:val="23"/>
          <w:szCs w:val="23"/>
        </w:rPr>
      </w:pPr>
      <w:r w:rsidRPr="00382D00">
        <w:rPr>
          <w:rFonts w:ascii="DINPro-Regular" w:hAnsi="DINPro-Regular"/>
          <w:sz w:val="23"/>
          <w:szCs w:val="23"/>
        </w:rPr>
        <w:t>•</w:t>
      </w:r>
      <w:r w:rsidRPr="00382D00">
        <w:rPr>
          <w:rFonts w:ascii="DINPro-Regular" w:hAnsi="DINPro-Regular"/>
          <w:sz w:val="23"/>
          <w:szCs w:val="23"/>
        </w:rPr>
        <w:tab/>
        <w:t>Criminal Protective Orders (CPO) if in effect</w:t>
      </w:r>
    </w:p>
    <w:p w14:paraId="0119F377" w14:textId="77777777" w:rsidR="00E50311" w:rsidRPr="00382D00" w:rsidRDefault="00E50311" w:rsidP="00E50311">
      <w:pPr>
        <w:ind w:left="1440"/>
        <w:rPr>
          <w:rFonts w:ascii="DINPro-Regular" w:hAnsi="DINPro-Regular"/>
          <w:sz w:val="23"/>
          <w:szCs w:val="23"/>
        </w:rPr>
      </w:pPr>
      <w:r w:rsidRPr="00382D00">
        <w:rPr>
          <w:rFonts w:ascii="DINPro-Regular" w:hAnsi="DINPro-Regular"/>
          <w:sz w:val="23"/>
          <w:szCs w:val="23"/>
        </w:rPr>
        <w:t>•</w:t>
      </w:r>
      <w:r w:rsidRPr="00382D00">
        <w:rPr>
          <w:rFonts w:ascii="DINPro-Regular" w:hAnsi="DINPro-Regular"/>
          <w:sz w:val="23"/>
          <w:szCs w:val="23"/>
        </w:rPr>
        <w:tab/>
        <w:t>Photo of Person</w:t>
      </w:r>
    </w:p>
    <w:p w14:paraId="5B9DD673" w14:textId="398A4B7B" w:rsidR="00E50311" w:rsidRDefault="00E50311" w:rsidP="00E50311">
      <w:pPr>
        <w:ind w:left="2160" w:hanging="720"/>
        <w:rPr>
          <w:rFonts w:ascii="DINPro-Regular" w:hAnsi="DINPro-Regular"/>
          <w:sz w:val="23"/>
          <w:szCs w:val="23"/>
        </w:rPr>
      </w:pPr>
      <w:r w:rsidRPr="00382D00">
        <w:rPr>
          <w:rFonts w:ascii="DINPro-Regular" w:hAnsi="DINPro-Regular"/>
          <w:sz w:val="23"/>
          <w:szCs w:val="23"/>
        </w:rPr>
        <w:t>•</w:t>
      </w:r>
      <w:r w:rsidRPr="00382D00">
        <w:rPr>
          <w:rFonts w:ascii="DINPro-Regular" w:hAnsi="DINPro-Regular"/>
          <w:sz w:val="23"/>
          <w:szCs w:val="23"/>
        </w:rPr>
        <w:tab/>
        <w:t xml:space="preserve">Proof of Registration or Notice of Registration Requirement (290 PC, 457.1 PC, 186.30 PC) </w:t>
      </w:r>
    </w:p>
    <w:p w14:paraId="2D0C9E3C" w14:textId="77777777" w:rsidR="004E6EB2" w:rsidRDefault="004E6EB2" w:rsidP="00E50311">
      <w:pPr>
        <w:rPr>
          <w:rFonts w:ascii="DINPro-Regular" w:hAnsi="DINPro-Regular"/>
          <w:sz w:val="23"/>
          <w:szCs w:val="23"/>
        </w:rPr>
      </w:pPr>
    </w:p>
    <w:p w14:paraId="581F3252" w14:textId="77777777" w:rsidR="00382D00" w:rsidRPr="00382D00" w:rsidRDefault="00382D00" w:rsidP="00382D00">
      <w:pPr>
        <w:rPr>
          <w:rFonts w:ascii="DINPro-Regular" w:hAnsi="DINPro-Regular"/>
          <w:sz w:val="23"/>
          <w:szCs w:val="23"/>
        </w:rPr>
      </w:pPr>
    </w:p>
    <w:p w14:paraId="3FDA5B6A" w14:textId="77777777" w:rsidR="00382D00" w:rsidRPr="00382D00" w:rsidRDefault="00382D00" w:rsidP="00382D00">
      <w:pPr>
        <w:pStyle w:val="ListParagraph"/>
        <w:numPr>
          <w:ilvl w:val="0"/>
          <w:numId w:val="21"/>
        </w:numPr>
        <w:rPr>
          <w:rFonts w:ascii="DINPro-Regular" w:hAnsi="DINPro-Regular"/>
          <w:b/>
          <w:bCs/>
          <w:sz w:val="23"/>
          <w:szCs w:val="23"/>
        </w:rPr>
      </w:pPr>
      <w:r w:rsidRPr="00382D00">
        <w:rPr>
          <w:rFonts w:ascii="DINPro-Regular" w:hAnsi="DINPro-Regular"/>
          <w:b/>
          <w:bCs/>
          <w:sz w:val="23"/>
          <w:szCs w:val="23"/>
        </w:rPr>
        <w:t xml:space="preserve">After The Transfer Hearing </w:t>
      </w:r>
    </w:p>
    <w:p w14:paraId="36F1D35D" w14:textId="77777777" w:rsidR="00382D00" w:rsidRPr="00382D00" w:rsidRDefault="00382D00" w:rsidP="00382D00">
      <w:pPr>
        <w:pStyle w:val="ListParagraph"/>
        <w:rPr>
          <w:rFonts w:ascii="DINPro-Regular" w:hAnsi="DINPro-Regular"/>
          <w:sz w:val="23"/>
          <w:szCs w:val="23"/>
        </w:rPr>
      </w:pPr>
      <w:r w:rsidRPr="00382D00">
        <w:rPr>
          <w:rFonts w:ascii="DINPro-Regular" w:hAnsi="DINPro-Regular"/>
          <w:sz w:val="23"/>
          <w:szCs w:val="23"/>
        </w:rPr>
        <w:t xml:space="preserve">Send the receiving county the </w:t>
      </w:r>
      <w:r w:rsidRPr="00C50197">
        <w:rPr>
          <w:rFonts w:ascii="DINPro-Regular" w:hAnsi="DINPro-Regular"/>
          <w:b/>
          <w:bCs/>
          <w:sz w:val="23"/>
          <w:szCs w:val="23"/>
        </w:rPr>
        <w:t>Filed Order for Transfer (CR-251)</w:t>
      </w:r>
      <w:r w:rsidRPr="00382D00">
        <w:rPr>
          <w:rFonts w:ascii="DINPro-Regular" w:hAnsi="DINPro-Regular"/>
          <w:sz w:val="23"/>
          <w:szCs w:val="23"/>
        </w:rPr>
        <w:t xml:space="preserve"> and any documents not sent originally</w:t>
      </w:r>
    </w:p>
    <w:p w14:paraId="7646792A" w14:textId="77777777" w:rsidR="00382D00" w:rsidRPr="00382D00" w:rsidRDefault="00382D00" w:rsidP="00382D00">
      <w:pPr>
        <w:pStyle w:val="ListParagraph"/>
        <w:ind w:left="360"/>
        <w:rPr>
          <w:rFonts w:ascii="DINPro-Regular" w:hAnsi="DINPro-Regular"/>
          <w:sz w:val="23"/>
          <w:szCs w:val="23"/>
        </w:rPr>
      </w:pPr>
    </w:p>
    <w:p w14:paraId="08A32D0F" w14:textId="77777777" w:rsidR="00382D00" w:rsidRPr="00382D00" w:rsidRDefault="00382D00" w:rsidP="00382D00">
      <w:pPr>
        <w:pStyle w:val="ListParagraph"/>
        <w:ind w:left="1440"/>
        <w:rPr>
          <w:rFonts w:ascii="DINPro-Regular" w:hAnsi="DINPro-Regular"/>
          <w:i/>
          <w:iCs/>
          <w:sz w:val="23"/>
          <w:szCs w:val="23"/>
        </w:rPr>
      </w:pPr>
      <w:r w:rsidRPr="00382D00">
        <w:rPr>
          <w:rFonts w:ascii="DINPro-Regular" w:hAnsi="DINPro-Regular"/>
          <w:i/>
          <w:iCs/>
          <w:sz w:val="23"/>
          <w:szCs w:val="23"/>
        </w:rPr>
        <w:t>NOTE- If for any reason the case is not transferred or vacated, notify the 1203.9 PC contact person(s) from that county</w:t>
      </w:r>
    </w:p>
    <w:p w14:paraId="5ACD7447" w14:textId="1D359E75" w:rsidR="00382D00" w:rsidRPr="00382D00" w:rsidRDefault="00382D00" w:rsidP="00E50311">
      <w:pPr>
        <w:rPr>
          <w:rFonts w:ascii="DINPro-Regular" w:hAnsi="DINPro-Regular"/>
          <w:sz w:val="23"/>
          <w:szCs w:val="23"/>
        </w:rPr>
        <w:sectPr w:rsidR="00382D00" w:rsidRPr="00382D00" w:rsidSect="00893768">
          <w:headerReference w:type="default" r:id="rId11"/>
          <w:footerReference w:type="even" r:id="rId12"/>
          <w:pgSz w:w="12240" w:h="15840"/>
          <w:pgMar w:top="2304" w:right="720" w:bottom="1728" w:left="720" w:header="720" w:footer="720" w:gutter="0"/>
          <w:cols w:space="720"/>
          <w:docGrid w:linePitch="360"/>
        </w:sectPr>
      </w:pPr>
    </w:p>
    <w:p w14:paraId="2B9B3413" w14:textId="4828A84D" w:rsidR="00E50311" w:rsidRPr="00382D00" w:rsidRDefault="00E50311" w:rsidP="00E50311">
      <w:pPr>
        <w:rPr>
          <w:rFonts w:ascii="DINPro-Regular" w:hAnsi="DINPro-Regular"/>
          <w:sz w:val="23"/>
          <w:szCs w:val="23"/>
        </w:rPr>
      </w:pPr>
    </w:p>
    <w:p w14:paraId="6F57C65B" w14:textId="35932649" w:rsidR="00E50311" w:rsidRPr="00382D00" w:rsidRDefault="00E50311" w:rsidP="00E50311">
      <w:pPr>
        <w:pStyle w:val="ListParagraph"/>
        <w:ind w:left="360"/>
        <w:rPr>
          <w:rFonts w:ascii="DINPro-Regular" w:hAnsi="DINPro-Regular"/>
          <w:sz w:val="23"/>
          <w:szCs w:val="23"/>
        </w:rPr>
      </w:pPr>
    </w:p>
    <w:p w14:paraId="15617A1C" w14:textId="77777777" w:rsidR="00E50311" w:rsidRPr="00382D00" w:rsidRDefault="00E50311" w:rsidP="002704CC">
      <w:pPr>
        <w:pStyle w:val="ListParagraph"/>
        <w:ind w:left="0"/>
        <w:rPr>
          <w:rFonts w:ascii="DINPro-Regular" w:hAnsi="DINPro-Regular"/>
          <w:b/>
          <w:bCs/>
          <w:sz w:val="23"/>
          <w:szCs w:val="23"/>
        </w:rPr>
      </w:pPr>
      <w:r w:rsidRPr="00382D00">
        <w:rPr>
          <w:rFonts w:ascii="DINPro-Regular" w:hAnsi="DINPro-Regular"/>
          <w:b/>
          <w:bCs/>
          <w:sz w:val="23"/>
          <w:szCs w:val="23"/>
        </w:rPr>
        <w:t>III. Guidelines Regarding Specific Identified Issues</w:t>
      </w:r>
    </w:p>
    <w:p w14:paraId="5796511F" w14:textId="77777777" w:rsidR="00E50311" w:rsidRPr="00382D00" w:rsidRDefault="00E50311" w:rsidP="00E50311">
      <w:pPr>
        <w:pStyle w:val="ListParagraph"/>
        <w:ind w:left="360"/>
        <w:rPr>
          <w:rFonts w:ascii="DINPro-Regular" w:hAnsi="DINPro-Regular"/>
          <w:sz w:val="23"/>
          <w:szCs w:val="23"/>
        </w:rPr>
      </w:pPr>
    </w:p>
    <w:p w14:paraId="3CB30102" w14:textId="77777777" w:rsidR="00E50311" w:rsidRPr="00382D00" w:rsidRDefault="00E50311" w:rsidP="00C10AA5">
      <w:pPr>
        <w:pStyle w:val="ListParagraph"/>
        <w:ind w:left="360" w:hanging="360"/>
        <w:rPr>
          <w:rFonts w:ascii="DINPro-Regular" w:hAnsi="DINPro-Regular"/>
          <w:sz w:val="23"/>
          <w:szCs w:val="23"/>
        </w:rPr>
      </w:pPr>
      <w:r w:rsidRPr="00382D00">
        <w:rPr>
          <w:rFonts w:ascii="DINPro-Regular" w:hAnsi="DINPro-Regular"/>
          <w:sz w:val="23"/>
          <w:szCs w:val="23"/>
        </w:rPr>
        <w:t>A.</w:t>
      </w:r>
      <w:r w:rsidRPr="00382D00">
        <w:rPr>
          <w:rFonts w:ascii="DINPro-Regular" w:hAnsi="DINPro-Regular"/>
          <w:sz w:val="23"/>
          <w:szCs w:val="23"/>
        </w:rPr>
        <w:tab/>
      </w:r>
      <w:r w:rsidRPr="00382D00">
        <w:rPr>
          <w:rFonts w:ascii="DINPro-Regular" w:hAnsi="DINPro-Regular"/>
          <w:b/>
          <w:bCs/>
          <w:sz w:val="23"/>
          <w:szCs w:val="23"/>
          <w:u w:val="single"/>
        </w:rPr>
        <w:t xml:space="preserve">New Offenses/Violations </w:t>
      </w:r>
      <w:proofErr w:type="gramStart"/>
      <w:r w:rsidRPr="00382D00">
        <w:rPr>
          <w:rFonts w:ascii="DINPro-Regular" w:hAnsi="DINPro-Regular"/>
          <w:b/>
          <w:bCs/>
          <w:sz w:val="23"/>
          <w:szCs w:val="23"/>
          <w:u w:val="single"/>
        </w:rPr>
        <w:t>Of</w:t>
      </w:r>
      <w:proofErr w:type="gramEnd"/>
      <w:r w:rsidRPr="00382D00">
        <w:rPr>
          <w:rFonts w:ascii="DINPro-Regular" w:hAnsi="DINPro-Regular"/>
          <w:b/>
          <w:bCs/>
          <w:sz w:val="23"/>
          <w:szCs w:val="23"/>
          <w:u w:val="single"/>
        </w:rPr>
        <w:t xml:space="preserve"> Supervision</w:t>
      </w:r>
      <w:r w:rsidRPr="00382D00">
        <w:rPr>
          <w:rFonts w:ascii="DINPro-Regular" w:hAnsi="DINPro-Regular"/>
          <w:sz w:val="23"/>
          <w:szCs w:val="23"/>
        </w:rPr>
        <w:t xml:space="preserve">: A sending county should conduct a thorough review of person’s criminal history prior to filing a Notice and Motion for Transfer. Counties should not transfer any persons pending new law violations </w:t>
      </w:r>
      <w:proofErr w:type="gramStart"/>
      <w:r w:rsidRPr="00382D00">
        <w:rPr>
          <w:rFonts w:ascii="DINPro-Regular" w:hAnsi="DINPro-Regular"/>
          <w:sz w:val="23"/>
          <w:szCs w:val="23"/>
        </w:rPr>
        <w:t>with the exception of</w:t>
      </w:r>
      <w:proofErr w:type="gramEnd"/>
      <w:r w:rsidRPr="00382D00">
        <w:rPr>
          <w:rFonts w:ascii="DINPro-Regular" w:hAnsi="DINPro-Regular"/>
          <w:sz w:val="23"/>
          <w:szCs w:val="23"/>
        </w:rPr>
        <w:t xml:space="preserve"> minor misdemeanor cases, including but not limited to, drunk in public cases, driving with a suspended license and any moving violations/infractions. If a person commits a technical violation(s) or new law violation(s) to include either felony or misdemeanor offense(s) in the receiving county during the transfer process, the sending county should violate the case prior to the hearing according to their department policy or take the matter off calendar and notify the receiving county.</w:t>
      </w:r>
    </w:p>
    <w:p w14:paraId="3A3A6F09" w14:textId="77777777" w:rsidR="00E50311" w:rsidRPr="00382D00" w:rsidRDefault="00E50311" w:rsidP="00E50311">
      <w:pPr>
        <w:pStyle w:val="ListParagraph"/>
        <w:ind w:left="360"/>
        <w:rPr>
          <w:rFonts w:ascii="DINPro-Regular" w:hAnsi="DINPro-Regular"/>
          <w:sz w:val="23"/>
          <w:szCs w:val="23"/>
        </w:rPr>
      </w:pPr>
    </w:p>
    <w:p w14:paraId="6EC286C8" w14:textId="77777777" w:rsidR="00E50311" w:rsidRPr="00382D00" w:rsidRDefault="00E50311" w:rsidP="00C10AA5">
      <w:pPr>
        <w:ind w:left="360" w:hanging="360"/>
        <w:rPr>
          <w:rFonts w:ascii="DINPro-Regular" w:hAnsi="DINPro-Regular"/>
          <w:sz w:val="23"/>
          <w:szCs w:val="23"/>
        </w:rPr>
      </w:pPr>
      <w:r w:rsidRPr="00382D00">
        <w:rPr>
          <w:rFonts w:ascii="DINPro-Regular" w:hAnsi="DINPro-Regular"/>
          <w:sz w:val="23"/>
          <w:szCs w:val="23"/>
        </w:rPr>
        <w:t>B.</w:t>
      </w:r>
      <w:r w:rsidRPr="00382D00">
        <w:rPr>
          <w:rFonts w:ascii="DINPro-Regular" w:hAnsi="DINPro-Regular"/>
          <w:sz w:val="23"/>
          <w:szCs w:val="23"/>
        </w:rPr>
        <w:tab/>
      </w:r>
      <w:r w:rsidRPr="00382D00">
        <w:rPr>
          <w:rFonts w:ascii="DINPro-Regular" w:hAnsi="DINPro-Regular"/>
          <w:b/>
          <w:bCs/>
          <w:sz w:val="23"/>
          <w:szCs w:val="23"/>
          <w:u w:val="single"/>
        </w:rPr>
        <w:t>Homeless Persons</w:t>
      </w:r>
      <w:r w:rsidRPr="00382D00">
        <w:rPr>
          <w:rFonts w:ascii="DINPro-Regular" w:hAnsi="DINPro-Regular"/>
          <w:sz w:val="23"/>
          <w:szCs w:val="23"/>
        </w:rPr>
        <w:t xml:space="preserve">: A physical apartment/house/normal living quarters are not required by Rules of Court. “Residency” is defined as the location the supervised person customarily lives.   </w:t>
      </w:r>
    </w:p>
    <w:p w14:paraId="37B990AE" w14:textId="77777777" w:rsidR="00E50311" w:rsidRPr="00382D00" w:rsidRDefault="00E50311" w:rsidP="00E50311">
      <w:pPr>
        <w:pStyle w:val="ListParagraph"/>
        <w:ind w:left="360"/>
        <w:rPr>
          <w:rFonts w:ascii="DINPro-Regular" w:hAnsi="DINPro-Regular"/>
          <w:sz w:val="23"/>
          <w:szCs w:val="23"/>
        </w:rPr>
      </w:pPr>
    </w:p>
    <w:p w14:paraId="64F03DF2" w14:textId="77777777" w:rsidR="00E50311" w:rsidRPr="00382D00" w:rsidRDefault="00E50311" w:rsidP="00C10AA5">
      <w:pPr>
        <w:pStyle w:val="ListParagraph"/>
        <w:ind w:left="360" w:hanging="360"/>
        <w:rPr>
          <w:rFonts w:ascii="DINPro-Regular" w:hAnsi="DINPro-Regular"/>
          <w:sz w:val="23"/>
          <w:szCs w:val="23"/>
        </w:rPr>
      </w:pPr>
      <w:r w:rsidRPr="00382D00">
        <w:rPr>
          <w:rFonts w:ascii="DINPro-Regular" w:hAnsi="DINPro-Regular"/>
          <w:sz w:val="23"/>
          <w:szCs w:val="23"/>
        </w:rPr>
        <w:t>C.</w:t>
      </w:r>
      <w:r w:rsidRPr="00382D00">
        <w:rPr>
          <w:rFonts w:ascii="DINPro-Regular" w:hAnsi="DINPro-Regular"/>
          <w:sz w:val="23"/>
          <w:szCs w:val="23"/>
        </w:rPr>
        <w:tab/>
      </w:r>
      <w:r w:rsidRPr="00382D00">
        <w:rPr>
          <w:rFonts w:ascii="DINPro-Regular" w:hAnsi="DINPro-Regular"/>
          <w:b/>
          <w:bCs/>
          <w:sz w:val="23"/>
          <w:szCs w:val="23"/>
          <w:u w:val="single"/>
        </w:rPr>
        <w:t>Sober Living/Residential Treatment Programs/Adult Group Homes</w:t>
      </w:r>
      <w:r w:rsidRPr="00382D00">
        <w:rPr>
          <w:rFonts w:ascii="DINPro-Regular" w:hAnsi="DINPro-Regular"/>
          <w:sz w:val="23"/>
          <w:szCs w:val="23"/>
        </w:rPr>
        <w:t xml:space="preserve">: These persons are appropriate for transfer if the person is residing and receiving services in the receiving county and have a plan of permanent residency.  </w:t>
      </w:r>
    </w:p>
    <w:p w14:paraId="6F856BD7" w14:textId="77777777" w:rsidR="00E50311" w:rsidRPr="00382D00" w:rsidRDefault="00E50311" w:rsidP="00E50311">
      <w:pPr>
        <w:pStyle w:val="ListParagraph"/>
        <w:ind w:left="360"/>
        <w:rPr>
          <w:rFonts w:ascii="DINPro-Regular" w:hAnsi="DINPro-Regular"/>
          <w:sz w:val="23"/>
          <w:szCs w:val="23"/>
        </w:rPr>
      </w:pPr>
    </w:p>
    <w:p w14:paraId="6C870BC4" w14:textId="77777777" w:rsidR="00E50311" w:rsidRPr="00382D00" w:rsidRDefault="00E50311" w:rsidP="00C10AA5">
      <w:pPr>
        <w:pStyle w:val="ListParagraph"/>
        <w:ind w:left="360" w:hanging="360"/>
        <w:rPr>
          <w:rFonts w:ascii="DINPro-Regular" w:hAnsi="DINPro-Regular"/>
          <w:sz w:val="23"/>
          <w:szCs w:val="23"/>
        </w:rPr>
      </w:pPr>
      <w:r w:rsidRPr="00382D00">
        <w:rPr>
          <w:rFonts w:ascii="DINPro-Regular" w:hAnsi="DINPro-Regular"/>
          <w:sz w:val="23"/>
          <w:szCs w:val="23"/>
        </w:rPr>
        <w:t>D.</w:t>
      </w:r>
      <w:r w:rsidRPr="00382D00">
        <w:rPr>
          <w:rFonts w:ascii="DINPro-Regular" w:hAnsi="DINPro-Regular"/>
          <w:sz w:val="23"/>
          <w:szCs w:val="23"/>
        </w:rPr>
        <w:tab/>
      </w:r>
      <w:r w:rsidRPr="00382D00">
        <w:rPr>
          <w:rFonts w:ascii="DINPro-Regular" w:hAnsi="DINPro-Regular"/>
          <w:b/>
          <w:bCs/>
          <w:sz w:val="23"/>
          <w:szCs w:val="23"/>
          <w:u w:val="single"/>
        </w:rPr>
        <w:t>Delancey Street In San Francisco</w:t>
      </w:r>
      <w:r w:rsidRPr="00382D00">
        <w:rPr>
          <w:rFonts w:ascii="DINPro-Regular" w:hAnsi="DINPro-Regular"/>
          <w:sz w:val="23"/>
          <w:szCs w:val="23"/>
        </w:rPr>
        <w:t>: Any persons sentenced to Delancey Street are appropriate for transfer and must have a minimum of six months or more on supervision at the time of the hearing.</w:t>
      </w:r>
    </w:p>
    <w:p w14:paraId="13DB575D" w14:textId="77777777" w:rsidR="00E50311" w:rsidRPr="00382D00" w:rsidRDefault="00E50311" w:rsidP="00E50311">
      <w:pPr>
        <w:pStyle w:val="ListParagraph"/>
        <w:ind w:left="360"/>
        <w:rPr>
          <w:rFonts w:ascii="DINPro-Regular" w:hAnsi="DINPro-Regular"/>
          <w:sz w:val="23"/>
          <w:szCs w:val="23"/>
        </w:rPr>
      </w:pPr>
    </w:p>
    <w:p w14:paraId="60B359AF" w14:textId="77777777" w:rsidR="00E50311" w:rsidRPr="00382D00" w:rsidRDefault="00E50311" w:rsidP="00C10AA5">
      <w:pPr>
        <w:pStyle w:val="ListParagraph"/>
        <w:ind w:left="360" w:hanging="360"/>
        <w:rPr>
          <w:rFonts w:ascii="DINPro-Regular" w:hAnsi="DINPro-Regular"/>
          <w:sz w:val="23"/>
          <w:szCs w:val="23"/>
        </w:rPr>
      </w:pPr>
      <w:r w:rsidRPr="00382D00">
        <w:rPr>
          <w:rFonts w:ascii="DINPro-Regular" w:hAnsi="DINPro-Regular"/>
          <w:sz w:val="23"/>
          <w:szCs w:val="23"/>
        </w:rPr>
        <w:t>E.</w:t>
      </w:r>
      <w:r w:rsidRPr="00382D00">
        <w:rPr>
          <w:rFonts w:ascii="DINPro-Regular" w:hAnsi="DINPro-Regular"/>
          <w:sz w:val="23"/>
          <w:szCs w:val="23"/>
        </w:rPr>
        <w:tab/>
      </w:r>
      <w:r w:rsidRPr="00382D00">
        <w:rPr>
          <w:rFonts w:ascii="DINPro-Regular" w:hAnsi="DINPro-Regular"/>
          <w:b/>
          <w:bCs/>
          <w:sz w:val="23"/>
          <w:szCs w:val="23"/>
          <w:u w:val="single"/>
        </w:rPr>
        <w:t>Address Verifications</w:t>
      </w:r>
      <w:r w:rsidRPr="00382D00">
        <w:rPr>
          <w:rFonts w:ascii="DINPro-Regular" w:hAnsi="DINPro-Regular"/>
          <w:sz w:val="23"/>
          <w:szCs w:val="23"/>
        </w:rPr>
        <w:t xml:space="preserve">: The inability of a receiving county to conduct an address verification does not preclude a transfer.  </w:t>
      </w:r>
    </w:p>
    <w:p w14:paraId="5B8472AD" w14:textId="77777777" w:rsidR="00E50311" w:rsidRPr="00382D00" w:rsidRDefault="00E50311" w:rsidP="00E50311">
      <w:pPr>
        <w:pStyle w:val="ListParagraph"/>
        <w:ind w:left="360"/>
        <w:rPr>
          <w:rFonts w:ascii="DINPro-Regular" w:hAnsi="DINPro-Regular"/>
          <w:sz w:val="23"/>
          <w:szCs w:val="23"/>
        </w:rPr>
      </w:pPr>
    </w:p>
    <w:p w14:paraId="03304A77" w14:textId="77777777" w:rsidR="00E50311" w:rsidRPr="00382D00" w:rsidRDefault="00E50311" w:rsidP="00C10AA5">
      <w:pPr>
        <w:pStyle w:val="ListParagraph"/>
        <w:ind w:left="360" w:hanging="360"/>
        <w:rPr>
          <w:rFonts w:ascii="DINPro-Regular" w:hAnsi="DINPro-Regular"/>
          <w:sz w:val="23"/>
          <w:szCs w:val="23"/>
        </w:rPr>
      </w:pPr>
      <w:r w:rsidRPr="00382D00">
        <w:rPr>
          <w:rFonts w:ascii="DINPro-Regular" w:hAnsi="DINPro-Regular"/>
          <w:sz w:val="23"/>
          <w:szCs w:val="23"/>
        </w:rPr>
        <w:t>F.</w:t>
      </w:r>
      <w:r w:rsidRPr="00382D00">
        <w:rPr>
          <w:rFonts w:ascii="DINPro-Regular" w:hAnsi="DINPro-Regular"/>
          <w:sz w:val="23"/>
          <w:szCs w:val="23"/>
        </w:rPr>
        <w:tab/>
      </w:r>
      <w:r w:rsidRPr="00382D00">
        <w:rPr>
          <w:rFonts w:ascii="DINPro-Regular" w:hAnsi="DINPro-Regular"/>
          <w:b/>
          <w:bCs/>
          <w:sz w:val="23"/>
          <w:szCs w:val="23"/>
          <w:u w:val="single"/>
        </w:rPr>
        <w:t>New Address within Receiving County</w:t>
      </w:r>
      <w:r w:rsidRPr="00382D00">
        <w:rPr>
          <w:rFonts w:ascii="DINPro-Regular" w:hAnsi="DINPro-Regular"/>
          <w:sz w:val="23"/>
          <w:szCs w:val="23"/>
        </w:rPr>
        <w:t xml:space="preserve">: Should the person move to a new address still located within the receiving county after the Filed Notice and Motion for Transfer has been mailed, the sending county should contact the receiving county to update the person’s new address. </w:t>
      </w:r>
    </w:p>
    <w:p w14:paraId="6EA5751E" w14:textId="77777777" w:rsidR="00E50311" w:rsidRPr="00382D00" w:rsidRDefault="00E50311" w:rsidP="00E50311">
      <w:pPr>
        <w:pStyle w:val="ListParagraph"/>
        <w:ind w:left="360"/>
        <w:rPr>
          <w:rFonts w:ascii="DINPro-Regular" w:hAnsi="DINPro-Regular"/>
          <w:sz w:val="23"/>
          <w:szCs w:val="23"/>
        </w:rPr>
      </w:pPr>
    </w:p>
    <w:p w14:paraId="5C8B0173" w14:textId="77777777" w:rsidR="00E50311" w:rsidRPr="00382D00" w:rsidRDefault="00E50311" w:rsidP="00C10AA5">
      <w:pPr>
        <w:pStyle w:val="ListParagraph"/>
        <w:ind w:left="360" w:hanging="360"/>
        <w:rPr>
          <w:rFonts w:ascii="DINPro-Regular" w:hAnsi="DINPro-Regular"/>
          <w:sz w:val="23"/>
          <w:szCs w:val="23"/>
        </w:rPr>
      </w:pPr>
      <w:r w:rsidRPr="00382D00">
        <w:rPr>
          <w:rFonts w:ascii="DINPro-Regular" w:hAnsi="DINPro-Regular"/>
          <w:sz w:val="23"/>
          <w:szCs w:val="23"/>
        </w:rPr>
        <w:t>G.</w:t>
      </w:r>
      <w:r w:rsidRPr="00382D00">
        <w:rPr>
          <w:rFonts w:ascii="DINPro-Regular" w:hAnsi="DINPro-Regular"/>
          <w:sz w:val="23"/>
          <w:szCs w:val="23"/>
        </w:rPr>
        <w:tab/>
      </w:r>
      <w:r w:rsidRPr="00382D00">
        <w:rPr>
          <w:rFonts w:ascii="DINPro-Regular" w:hAnsi="DINPro-Regular"/>
          <w:b/>
          <w:bCs/>
          <w:sz w:val="23"/>
          <w:szCs w:val="23"/>
          <w:u w:val="single"/>
        </w:rPr>
        <w:t>Move to Different County</w:t>
      </w:r>
      <w:r w:rsidRPr="00382D00">
        <w:rPr>
          <w:rFonts w:ascii="DINPro-Regular" w:hAnsi="DINPro-Regular"/>
          <w:sz w:val="23"/>
          <w:szCs w:val="23"/>
        </w:rPr>
        <w:t xml:space="preserve">: If the person moves to a different county other than the county listed in the Filed Notice and Motion for Transfer before the hearing, the sending county should petition their court to vacate the hearing, then inform the receiving county, and start the transfer process for the new receiving county.  </w:t>
      </w:r>
    </w:p>
    <w:p w14:paraId="5BC38BCA" w14:textId="77777777" w:rsidR="00E50311" w:rsidRPr="00382D00" w:rsidRDefault="00E50311" w:rsidP="00E50311">
      <w:pPr>
        <w:pStyle w:val="ListParagraph"/>
        <w:ind w:left="360"/>
        <w:rPr>
          <w:rFonts w:ascii="DINPro-Regular" w:hAnsi="DINPro-Regular"/>
          <w:sz w:val="23"/>
          <w:szCs w:val="23"/>
        </w:rPr>
      </w:pPr>
    </w:p>
    <w:p w14:paraId="77D6BD9D" w14:textId="645334E0" w:rsidR="00E50311" w:rsidRPr="00382D00" w:rsidRDefault="00E50311" w:rsidP="00C10AA5">
      <w:pPr>
        <w:pStyle w:val="ListParagraph"/>
        <w:ind w:left="360" w:hanging="360"/>
        <w:rPr>
          <w:rFonts w:ascii="DINPro-Regular" w:hAnsi="DINPro-Regular"/>
          <w:sz w:val="23"/>
          <w:szCs w:val="23"/>
        </w:rPr>
      </w:pPr>
      <w:r w:rsidRPr="00382D00">
        <w:rPr>
          <w:rFonts w:ascii="DINPro-Regular" w:hAnsi="DINPro-Regular"/>
          <w:sz w:val="23"/>
          <w:szCs w:val="23"/>
        </w:rPr>
        <w:t>H.</w:t>
      </w:r>
      <w:r w:rsidRPr="00382D00">
        <w:rPr>
          <w:rFonts w:ascii="DINPro-Regular" w:hAnsi="DINPro-Regular"/>
          <w:sz w:val="23"/>
          <w:szCs w:val="23"/>
        </w:rPr>
        <w:tab/>
      </w:r>
      <w:r w:rsidRPr="00382D00">
        <w:rPr>
          <w:rFonts w:ascii="DINPro-Regular" w:hAnsi="DINPro-Regular"/>
          <w:b/>
          <w:bCs/>
          <w:sz w:val="23"/>
          <w:szCs w:val="23"/>
          <w:u w:val="single"/>
        </w:rPr>
        <w:t>Remaining Time on Probation</w:t>
      </w:r>
      <w:r w:rsidRPr="00382D00">
        <w:rPr>
          <w:rFonts w:ascii="DINPro-Regular" w:hAnsi="DINPro-Regular"/>
          <w:sz w:val="23"/>
          <w:szCs w:val="23"/>
        </w:rPr>
        <w:t xml:space="preserve">: Case should have at least </w:t>
      </w:r>
      <w:r w:rsidR="00612920" w:rsidRPr="00E74DC6">
        <w:rPr>
          <w:rFonts w:ascii="DINPro-Regular" w:hAnsi="DINPro-Regular"/>
          <w:sz w:val="23"/>
          <w:szCs w:val="23"/>
        </w:rPr>
        <w:t xml:space="preserve">six months </w:t>
      </w:r>
      <w:r w:rsidRPr="00E74DC6">
        <w:rPr>
          <w:rFonts w:ascii="DINPro-Regular" w:hAnsi="DINPro-Regular"/>
          <w:sz w:val="23"/>
          <w:szCs w:val="23"/>
        </w:rPr>
        <w:t>remaining</w:t>
      </w:r>
      <w:r w:rsidRPr="00382D00">
        <w:rPr>
          <w:rFonts w:ascii="DINPro-Regular" w:hAnsi="DINPro-Regular"/>
          <w:sz w:val="23"/>
          <w:szCs w:val="23"/>
        </w:rPr>
        <w:t xml:space="preserve"> on supervision by transfer date. Exceptions may include offenses involving sex, dv, drug sales, weapons, gangs or any other offenses considered significant in the interest of public safety, which may be transferred no matter how much time remains.</w:t>
      </w:r>
    </w:p>
    <w:p w14:paraId="04352C32" w14:textId="77777777" w:rsidR="00E50311" w:rsidRPr="00382D00" w:rsidRDefault="00E50311" w:rsidP="00E50311">
      <w:pPr>
        <w:pStyle w:val="ListParagraph"/>
        <w:ind w:left="360"/>
        <w:rPr>
          <w:rFonts w:ascii="DINPro-Regular" w:hAnsi="DINPro-Regular"/>
          <w:sz w:val="23"/>
          <w:szCs w:val="23"/>
        </w:rPr>
      </w:pPr>
    </w:p>
    <w:p w14:paraId="7B4B2656" w14:textId="39FB8AC9" w:rsidR="001050E0" w:rsidRPr="00382D00" w:rsidRDefault="00E50311" w:rsidP="00C10AA5">
      <w:pPr>
        <w:pStyle w:val="ListParagraph"/>
        <w:ind w:left="360" w:hanging="360"/>
        <w:rPr>
          <w:rFonts w:ascii="DINPro-Regular" w:hAnsi="DINPro-Regular"/>
          <w:sz w:val="23"/>
          <w:szCs w:val="23"/>
        </w:rPr>
      </w:pPr>
      <w:r w:rsidRPr="00382D00">
        <w:rPr>
          <w:rFonts w:ascii="DINPro-Regular" w:hAnsi="DINPro-Regular"/>
          <w:sz w:val="23"/>
          <w:szCs w:val="23"/>
        </w:rPr>
        <w:t>I.</w:t>
      </w:r>
      <w:r w:rsidRPr="00382D00">
        <w:rPr>
          <w:rFonts w:ascii="DINPro-Regular" w:hAnsi="DINPro-Regular"/>
          <w:sz w:val="23"/>
          <w:szCs w:val="23"/>
        </w:rPr>
        <w:tab/>
      </w:r>
      <w:r w:rsidRPr="00382D00">
        <w:rPr>
          <w:rFonts w:ascii="DINPro-Regular" w:hAnsi="DINPro-Regular"/>
          <w:b/>
          <w:bCs/>
          <w:sz w:val="23"/>
          <w:szCs w:val="23"/>
          <w:u w:val="single"/>
        </w:rPr>
        <w:t>Receiving Court Comment Form</w:t>
      </w:r>
      <w:r w:rsidRPr="00382D00">
        <w:rPr>
          <w:rFonts w:ascii="DINPro-Regular" w:hAnsi="DINPro-Regular"/>
          <w:sz w:val="23"/>
          <w:szCs w:val="23"/>
        </w:rPr>
        <w:t xml:space="preserve">: If the case is inappropriate for transfer based on factors outlined in the Rules of Court, the receiving court must sign a Receiving Court Comment Form (CR-252), generated by the receiving county’s probation department. The probation department shall forward the original to the sending county’s court and a copy to the sending county’s probation department.   </w:t>
      </w:r>
      <w:bookmarkEnd w:id="0"/>
    </w:p>
    <w:sectPr w:rsidR="001050E0" w:rsidRPr="00382D00" w:rsidSect="004E6EB2">
      <w:pgSz w:w="12240" w:h="15840" w:code="1"/>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3608" w14:textId="77777777" w:rsidR="00764033" w:rsidRDefault="00764033" w:rsidP="00031E00">
      <w:r>
        <w:separator/>
      </w:r>
    </w:p>
  </w:endnote>
  <w:endnote w:type="continuationSeparator" w:id="0">
    <w:p w14:paraId="658F310B" w14:textId="77777777" w:rsidR="00764033" w:rsidRDefault="00764033" w:rsidP="0003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Pro-Regular">
    <w:altName w:val="Calibri"/>
    <w:panose1 w:val="00000000000000000000"/>
    <w:charset w:val="00"/>
    <w:family w:val="modern"/>
    <w:notTrueType/>
    <w:pitch w:val="variable"/>
    <w:sig w:usb0="800002AF" w:usb1="4000206A" w:usb2="00000000" w:usb3="00000000" w:csb0="0000009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5637" w14:textId="18F6971E" w:rsidR="00D8246C" w:rsidRDefault="00D8246C" w:rsidP="004A509E">
    <w:pPr>
      <w:pStyle w:val="Footer"/>
      <w:jc w:val="right"/>
    </w:pPr>
    <w:r w:rsidRPr="00E74DC6">
      <w:t xml:space="preserve">Revised </w:t>
    </w:r>
    <w:r w:rsidR="00BC7E4C">
      <w:t>March</w:t>
    </w:r>
    <w:r w:rsidRPr="00E74DC6">
      <w:t xml:space="preserve"> 202</w:t>
    </w:r>
    <w:r w:rsidR="00BC7E4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64F8" w14:textId="77777777" w:rsidR="00764033" w:rsidRDefault="00764033" w:rsidP="00031E00">
      <w:r>
        <w:separator/>
      </w:r>
    </w:p>
  </w:footnote>
  <w:footnote w:type="continuationSeparator" w:id="0">
    <w:p w14:paraId="6FDDDE07" w14:textId="77777777" w:rsidR="00764033" w:rsidRDefault="00764033" w:rsidP="0003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9212" w14:textId="3254E6A2" w:rsidR="00031E00" w:rsidRDefault="00565C98" w:rsidP="00B36A73">
    <w:pPr>
      <w:pStyle w:val="Header"/>
      <w:tabs>
        <w:tab w:val="clear" w:pos="4680"/>
        <w:tab w:val="clear" w:pos="9360"/>
        <w:tab w:val="left" w:pos="2423"/>
      </w:tabs>
    </w:pPr>
    <w:r>
      <w:rPr>
        <w:noProof/>
      </w:rPr>
      <w:drawing>
        <wp:anchor distT="0" distB="0" distL="0" distR="0" simplePos="0" relativeHeight="251659264" behindDoc="1" locked="0" layoutInCell="1" allowOverlap="1" wp14:anchorId="30323E17" wp14:editId="0502630E">
          <wp:simplePos x="0" y="0"/>
          <wp:positionH relativeFrom="page">
            <wp:align>right</wp:align>
          </wp:positionH>
          <wp:positionV relativeFrom="page">
            <wp:posOffset>19050</wp:posOffset>
          </wp:positionV>
          <wp:extent cx="7772399" cy="1069340"/>
          <wp:effectExtent l="0" t="0" r="635" b="0"/>
          <wp:wrapNone/>
          <wp:docPr id="1"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pic:nvPicPr>
                <pic:blipFill>
                  <a:blip r:embed="rId1" cstate="print"/>
                  <a:stretch>
                    <a:fillRect/>
                  </a:stretch>
                </pic:blipFill>
                <pic:spPr>
                  <a:xfrm>
                    <a:off x="0" y="0"/>
                    <a:ext cx="7772399" cy="1069340"/>
                  </a:xfrm>
                  <a:prstGeom prst="rect">
                    <a:avLst/>
                  </a:prstGeom>
                </pic:spPr>
              </pic:pic>
            </a:graphicData>
          </a:graphic>
        </wp:anchor>
      </w:drawing>
    </w:r>
    <w:r w:rsidR="00B36A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049"/>
    <w:multiLevelType w:val="hybridMultilevel"/>
    <w:tmpl w:val="8316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12D39"/>
    <w:multiLevelType w:val="hybridMultilevel"/>
    <w:tmpl w:val="3CF2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129F4"/>
    <w:multiLevelType w:val="hybridMultilevel"/>
    <w:tmpl w:val="A2761AB4"/>
    <w:lvl w:ilvl="0" w:tplc="F8F094D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5770B8"/>
    <w:multiLevelType w:val="hybridMultilevel"/>
    <w:tmpl w:val="31945750"/>
    <w:lvl w:ilvl="0" w:tplc="CA525E4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FC1E94"/>
    <w:multiLevelType w:val="hybridMultilevel"/>
    <w:tmpl w:val="5A363A7A"/>
    <w:lvl w:ilvl="0" w:tplc="F8F094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B49CF"/>
    <w:multiLevelType w:val="hybridMultilevel"/>
    <w:tmpl w:val="B0A0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02468"/>
    <w:multiLevelType w:val="hybridMultilevel"/>
    <w:tmpl w:val="AF665FF6"/>
    <w:lvl w:ilvl="0" w:tplc="F8F094D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E39CC"/>
    <w:multiLevelType w:val="hybridMultilevel"/>
    <w:tmpl w:val="68C6D104"/>
    <w:lvl w:ilvl="0" w:tplc="3710B0E8">
      <w:numFmt w:val="bullet"/>
      <w:lvlText w:val="-"/>
      <w:lvlJc w:val="left"/>
      <w:pPr>
        <w:ind w:left="1440" w:hanging="720"/>
      </w:pPr>
      <w:rPr>
        <w:rFonts w:ascii="DINPro-Regular" w:eastAsiaTheme="minorHAnsi" w:hAnsi="DINPro-Regular"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E83E3D"/>
    <w:multiLevelType w:val="hybridMultilevel"/>
    <w:tmpl w:val="DD5CB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20A61"/>
    <w:multiLevelType w:val="hybridMultilevel"/>
    <w:tmpl w:val="B5D6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75C0F"/>
    <w:multiLevelType w:val="hybridMultilevel"/>
    <w:tmpl w:val="BC56B524"/>
    <w:lvl w:ilvl="0" w:tplc="9C84E45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2FF6E7F"/>
    <w:multiLevelType w:val="hybridMultilevel"/>
    <w:tmpl w:val="9E7A1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C728F"/>
    <w:multiLevelType w:val="hybridMultilevel"/>
    <w:tmpl w:val="4E6CD6CC"/>
    <w:lvl w:ilvl="0" w:tplc="CA525E4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30784E"/>
    <w:multiLevelType w:val="hybridMultilevel"/>
    <w:tmpl w:val="3CF83F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5FA39AA"/>
    <w:multiLevelType w:val="hybridMultilevel"/>
    <w:tmpl w:val="D166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26FBF"/>
    <w:multiLevelType w:val="hybridMultilevel"/>
    <w:tmpl w:val="46E2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048CF"/>
    <w:multiLevelType w:val="hybridMultilevel"/>
    <w:tmpl w:val="9D462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51BE5"/>
    <w:multiLevelType w:val="hybridMultilevel"/>
    <w:tmpl w:val="B004F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62A4064"/>
    <w:multiLevelType w:val="hybridMultilevel"/>
    <w:tmpl w:val="E69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D3933"/>
    <w:multiLevelType w:val="hybridMultilevel"/>
    <w:tmpl w:val="3332792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910432"/>
    <w:multiLevelType w:val="hybridMultilevel"/>
    <w:tmpl w:val="8A4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11756"/>
    <w:multiLevelType w:val="hybridMultilevel"/>
    <w:tmpl w:val="E048AD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9E81598"/>
    <w:multiLevelType w:val="hybridMultilevel"/>
    <w:tmpl w:val="1F4051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0948541">
    <w:abstractNumId w:val="16"/>
  </w:num>
  <w:num w:numId="2" w16cid:durableId="1642495958">
    <w:abstractNumId w:val="14"/>
  </w:num>
  <w:num w:numId="3" w16cid:durableId="171922526">
    <w:abstractNumId w:val="15"/>
  </w:num>
  <w:num w:numId="4" w16cid:durableId="569996522">
    <w:abstractNumId w:val="18"/>
  </w:num>
  <w:num w:numId="5" w16cid:durableId="1719207205">
    <w:abstractNumId w:val="9"/>
  </w:num>
  <w:num w:numId="6" w16cid:durableId="416708599">
    <w:abstractNumId w:val="11"/>
  </w:num>
  <w:num w:numId="7" w16cid:durableId="36980101">
    <w:abstractNumId w:val="20"/>
  </w:num>
  <w:num w:numId="8" w16cid:durableId="1500732522">
    <w:abstractNumId w:val="22"/>
  </w:num>
  <w:num w:numId="9" w16cid:durableId="907106232">
    <w:abstractNumId w:val="8"/>
  </w:num>
  <w:num w:numId="10" w16cid:durableId="1611089108">
    <w:abstractNumId w:val="5"/>
  </w:num>
  <w:num w:numId="11" w16cid:durableId="1245069986">
    <w:abstractNumId w:val="0"/>
  </w:num>
  <w:num w:numId="12" w16cid:durableId="1450391494">
    <w:abstractNumId w:val="1"/>
  </w:num>
  <w:num w:numId="13" w16cid:durableId="486436586">
    <w:abstractNumId w:val="16"/>
  </w:num>
  <w:num w:numId="14" w16cid:durableId="179976095">
    <w:abstractNumId w:val="21"/>
  </w:num>
  <w:num w:numId="15" w16cid:durableId="1335643138">
    <w:abstractNumId w:val="10"/>
  </w:num>
  <w:num w:numId="16" w16cid:durableId="1227762601">
    <w:abstractNumId w:val="12"/>
  </w:num>
  <w:num w:numId="17" w16cid:durableId="34235238">
    <w:abstractNumId w:val="7"/>
  </w:num>
  <w:num w:numId="18" w16cid:durableId="1464883954">
    <w:abstractNumId w:val="3"/>
  </w:num>
  <w:num w:numId="19" w16cid:durableId="162549596">
    <w:abstractNumId w:val="17"/>
  </w:num>
  <w:num w:numId="20" w16cid:durableId="1399405857">
    <w:abstractNumId w:val="4"/>
  </w:num>
  <w:num w:numId="21" w16cid:durableId="241843619">
    <w:abstractNumId w:val="2"/>
  </w:num>
  <w:num w:numId="22" w16cid:durableId="88813929">
    <w:abstractNumId w:val="6"/>
  </w:num>
  <w:num w:numId="23" w16cid:durableId="967511182">
    <w:abstractNumId w:val="19"/>
  </w:num>
  <w:num w:numId="24" w16cid:durableId="678847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3D"/>
    <w:rsid w:val="00027764"/>
    <w:rsid w:val="000278BB"/>
    <w:rsid w:val="00031E00"/>
    <w:rsid w:val="00033A3B"/>
    <w:rsid w:val="000431EC"/>
    <w:rsid w:val="00050872"/>
    <w:rsid w:val="000660CC"/>
    <w:rsid w:val="0007753E"/>
    <w:rsid w:val="000A16D6"/>
    <w:rsid w:val="000E06C7"/>
    <w:rsid w:val="000E6D34"/>
    <w:rsid w:val="001050E0"/>
    <w:rsid w:val="001173B7"/>
    <w:rsid w:val="0012315C"/>
    <w:rsid w:val="001571C7"/>
    <w:rsid w:val="00187D95"/>
    <w:rsid w:val="00190C61"/>
    <w:rsid w:val="001C61AA"/>
    <w:rsid w:val="00217188"/>
    <w:rsid w:val="0021773B"/>
    <w:rsid w:val="00233A17"/>
    <w:rsid w:val="0023454F"/>
    <w:rsid w:val="00255327"/>
    <w:rsid w:val="002704CC"/>
    <w:rsid w:val="00276429"/>
    <w:rsid w:val="00283799"/>
    <w:rsid w:val="00295C23"/>
    <w:rsid w:val="00297FF9"/>
    <w:rsid w:val="002A6522"/>
    <w:rsid w:val="002B1A33"/>
    <w:rsid w:val="0034446E"/>
    <w:rsid w:val="0038157E"/>
    <w:rsid w:val="00382D00"/>
    <w:rsid w:val="003913E2"/>
    <w:rsid w:val="003D79C1"/>
    <w:rsid w:val="0040381C"/>
    <w:rsid w:val="00415F95"/>
    <w:rsid w:val="004508A7"/>
    <w:rsid w:val="00491897"/>
    <w:rsid w:val="00495666"/>
    <w:rsid w:val="004A509E"/>
    <w:rsid w:val="004C1BFD"/>
    <w:rsid w:val="004E6EB2"/>
    <w:rsid w:val="005443C4"/>
    <w:rsid w:val="00545DCF"/>
    <w:rsid w:val="00565C98"/>
    <w:rsid w:val="005812A3"/>
    <w:rsid w:val="00586CDF"/>
    <w:rsid w:val="005A5ECE"/>
    <w:rsid w:val="005D714C"/>
    <w:rsid w:val="005F32D9"/>
    <w:rsid w:val="005F58A3"/>
    <w:rsid w:val="00612920"/>
    <w:rsid w:val="0062203D"/>
    <w:rsid w:val="00660225"/>
    <w:rsid w:val="006C02DD"/>
    <w:rsid w:val="006D1184"/>
    <w:rsid w:val="006E2067"/>
    <w:rsid w:val="006F7228"/>
    <w:rsid w:val="00707B8B"/>
    <w:rsid w:val="007123A7"/>
    <w:rsid w:val="00716A8F"/>
    <w:rsid w:val="007239F6"/>
    <w:rsid w:val="00735DB5"/>
    <w:rsid w:val="007405A7"/>
    <w:rsid w:val="00753F54"/>
    <w:rsid w:val="00764033"/>
    <w:rsid w:val="00775A8C"/>
    <w:rsid w:val="007C2070"/>
    <w:rsid w:val="007E227E"/>
    <w:rsid w:val="007E59DA"/>
    <w:rsid w:val="007F6457"/>
    <w:rsid w:val="00807000"/>
    <w:rsid w:val="0081112F"/>
    <w:rsid w:val="00846AE4"/>
    <w:rsid w:val="0084709F"/>
    <w:rsid w:val="0086203D"/>
    <w:rsid w:val="00893768"/>
    <w:rsid w:val="008B159D"/>
    <w:rsid w:val="0092188E"/>
    <w:rsid w:val="00932188"/>
    <w:rsid w:val="00966170"/>
    <w:rsid w:val="009A173D"/>
    <w:rsid w:val="009A4F1E"/>
    <w:rsid w:val="009C0AB0"/>
    <w:rsid w:val="009F463F"/>
    <w:rsid w:val="00A01CD9"/>
    <w:rsid w:val="00A34AA5"/>
    <w:rsid w:val="00A972E3"/>
    <w:rsid w:val="00AE3201"/>
    <w:rsid w:val="00AF52E2"/>
    <w:rsid w:val="00B00A7F"/>
    <w:rsid w:val="00B15077"/>
    <w:rsid w:val="00B30C6F"/>
    <w:rsid w:val="00B30D4D"/>
    <w:rsid w:val="00B36A73"/>
    <w:rsid w:val="00B474F3"/>
    <w:rsid w:val="00BA13FC"/>
    <w:rsid w:val="00BA19CB"/>
    <w:rsid w:val="00BA2934"/>
    <w:rsid w:val="00BA478A"/>
    <w:rsid w:val="00BC7E4C"/>
    <w:rsid w:val="00BE227D"/>
    <w:rsid w:val="00C10AA5"/>
    <w:rsid w:val="00C13919"/>
    <w:rsid w:val="00C2334D"/>
    <w:rsid w:val="00C50197"/>
    <w:rsid w:val="00C614EC"/>
    <w:rsid w:val="00C65C48"/>
    <w:rsid w:val="00C907AF"/>
    <w:rsid w:val="00CB5331"/>
    <w:rsid w:val="00CC6016"/>
    <w:rsid w:val="00CD3B57"/>
    <w:rsid w:val="00CE0853"/>
    <w:rsid w:val="00CF61ED"/>
    <w:rsid w:val="00D01AA6"/>
    <w:rsid w:val="00D13F37"/>
    <w:rsid w:val="00D71F11"/>
    <w:rsid w:val="00D8246C"/>
    <w:rsid w:val="00D96D20"/>
    <w:rsid w:val="00DD411B"/>
    <w:rsid w:val="00DE549C"/>
    <w:rsid w:val="00E07D4F"/>
    <w:rsid w:val="00E2272E"/>
    <w:rsid w:val="00E50311"/>
    <w:rsid w:val="00E50781"/>
    <w:rsid w:val="00E7436B"/>
    <w:rsid w:val="00E74DC6"/>
    <w:rsid w:val="00E87915"/>
    <w:rsid w:val="00EA4AC3"/>
    <w:rsid w:val="00ED4BAE"/>
    <w:rsid w:val="00EE54A4"/>
    <w:rsid w:val="00F3224E"/>
    <w:rsid w:val="00F418A6"/>
    <w:rsid w:val="00F95172"/>
    <w:rsid w:val="00FA25E3"/>
    <w:rsid w:val="00FA6F1B"/>
    <w:rsid w:val="00FB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3B53A"/>
  <w14:defaultImageDpi w14:val="32767"/>
  <w15:chartTrackingRefBased/>
  <w15:docId w15:val="{A651AE73-2EDA-4236-B8C4-D33D422B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E00"/>
    <w:pPr>
      <w:tabs>
        <w:tab w:val="center" w:pos="4680"/>
        <w:tab w:val="right" w:pos="9360"/>
      </w:tabs>
    </w:pPr>
  </w:style>
  <w:style w:type="character" w:customStyle="1" w:styleId="HeaderChar">
    <w:name w:val="Header Char"/>
    <w:basedOn w:val="DefaultParagraphFont"/>
    <w:link w:val="Header"/>
    <w:uiPriority w:val="99"/>
    <w:rsid w:val="00031E00"/>
  </w:style>
  <w:style w:type="paragraph" w:styleId="Footer">
    <w:name w:val="footer"/>
    <w:basedOn w:val="Normal"/>
    <w:link w:val="FooterChar"/>
    <w:uiPriority w:val="99"/>
    <w:unhideWhenUsed/>
    <w:rsid w:val="00031E00"/>
    <w:pPr>
      <w:tabs>
        <w:tab w:val="center" w:pos="4680"/>
        <w:tab w:val="right" w:pos="9360"/>
      </w:tabs>
    </w:pPr>
  </w:style>
  <w:style w:type="character" w:customStyle="1" w:styleId="FooterChar">
    <w:name w:val="Footer Char"/>
    <w:basedOn w:val="DefaultParagraphFont"/>
    <w:link w:val="Footer"/>
    <w:uiPriority w:val="99"/>
    <w:rsid w:val="00031E00"/>
  </w:style>
  <w:style w:type="paragraph" w:customStyle="1" w:styleId="body">
    <w:name w:val="body"/>
    <w:qFormat/>
    <w:rsid w:val="0038157E"/>
    <w:rPr>
      <w:rFonts w:ascii="Helvetica Neue Light" w:hAnsi="Helvetica Neue Light"/>
      <w:sz w:val="18"/>
    </w:rPr>
  </w:style>
  <w:style w:type="paragraph" w:styleId="ListParagraph">
    <w:name w:val="List Paragraph"/>
    <w:basedOn w:val="Normal"/>
    <w:uiPriority w:val="34"/>
    <w:qFormat/>
    <w:rsid w:val="00BA478A"/>
    <w:pPr>
      <w:ind w:left="720"/>
      <w:contextualSpacing/>
    </w:pPr>
  </w:style>
  <w:style w:type="character" w:styleId="Hyperlink">
    <w:name w:val="Hyperlink"/>
    <w:basedOn w:val="DefaultParagraphFont"/>
    <w:uiPriority w:val="99"/>
    <w:unhideWhenUsed/>
    <w:rsid w:val="00AF52E2"/>
    <w:rPr>
      <w:color w:val="0563C1" w:themeColor="hyperlink"/>
      <w:u w:val="single"/>
    </w:rPr>
  </w:style>
  <w:style w:type="paragraph" w:styleId="NormalWeb">
    <w:name w:val="Normal (Web)"/>
    <w:basedOn w:val="Normal"/>
    <w:uiPriority w:val="99"/>
    <w:unhideWhenUsed/>
    <w:rsid w:val="007123A7"/>
    <w:rPr>
      <w:rFonts w:ascii="Times New Roman" w:hAnsi="Times New Roman" w:cs="Times New Roman"/>
    </w:rPr>
  </w:style>
  <w:style w:type="paragraph" w:customStyle="1" w:styleId="Default">
    <w:name w:val="Default"/>
    <w:basedOn w:val="Normal"/>
    <w:rsid w:val="001173B7"/>
    <w:pPr>
      <w:autoSpaceDE w:val="0"/>
      <w:autoSpaceDN w:val="0"/>
    </w:pPr>
    <w:rPr>
      <w:rFonts w:ascii="Arial" w:eastAsia="Calibri" w:hAnsi="Arial" w:cs="Arial"/>
      <w:color w:val="000000"/>
    </w:rPr>
  </w:style>
  <w:style w:type="table" w:styleId="TableGrid">
    <w:name w:val="Table Grid"/>
    <w:basedOn w:val="TableNormal"/>
    <w:uiPriority w:val="39"/>
    <w:rsid w:val="00660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xml-new">
    <w:name w:val="deltaxml-new"/>
    <w:basedOn w:val="DefaultParagraphFont"/>
    <w:rsid w:val="00846AE4"/>
  </w:style>
  <w:style w:type="character" w:styleId="CommentReference">
    <w:name w:val="annotation reference"/>
    <w:basedOn w:val="DefaultParagraphFont"/>
    <w:uiPriority w:val="99"/>
    <w:semiHidden/>
    <w:unhideWhenUsed/>
    <w:rsid w:val="005D714C"/>
    <w:rPr>
      <w:sz w:val="16"/>
      <w:szCs w:val="16"/>
    </w:rPr>
  </w:style>
  <w:style w:type="paragraph" w:styleId="CommentText">
    <w:name w:val="annotation text"/>
    <w:basedOn w:val="Normal"/>
    <w:link w:val="CommentTextChar"/>
    <w:uiPriority w:val="99"/>
    <w:semiHidden/>
    <w:unhideWhenUsed/>
    <w:rsid w:val="005D714C"/>
    <w:rPr>
      <w:sz w:val="20"/>
      <w:szCs w:val="20"/>
    </w:rPr>
  </w:style>
  <w:style w:type="character" w:customStyle="1" w:styleId="CommentTextChar">
    <w:name w:val="Comment Text Char"/>
    <w:basedOn w:val="DefaultParagraphFont"/>
    <w:link w:val="CommentText"/>
    <w:uiPriority w:val="99"/>
    <w:semiHidden/>
    <w:rsid w:val="005D714C"/>
    <w:rPr>
      <w:sz w:val="20"/>
      <w:szCs w:val="20"/>
    </w:rPr>
  </w:style>
  <w:style w:type="paragraph" w:styleId="CommentSubject">
    <w:name w:val="annotation subject"/>
    <w:basedOn w:val="CommentText"/>
    <w:next w:val="CommentText"/>
    <w:link w:val="CommentSubjectChar"/>
    <w:uiPriority w:val="99"/>
    <w:semiHidden/>
    <w:unhideWhenUsed/>
    <w:rsid w:val="005D714C"/>
    <w:rPr>
      <w:b/>
      <w:bCs/>
    </w:rPr>
  </w:style>
  <w:style w:type="character" w:customStyle="1" w:styleId="CommentSubjectChar">
    <w:name w:val="Comment Subject Char"/>
    <w:basedOn w:val="CommentTextChar"/>
    <w:link w:val="CommentSubject"/>
    <w:uiPriority w:val="99"/>
    <w:semiHidden/>
    <w:rsid w:val="005D714C"/>
    <w:rPr>
      <w:b/>
      <w:bCs/>
      <w:sz w:val="20"/>
      <w:szCs w:val="20"/>
    </w:rPr>
  </w:style>
  <w:style w:type="paragraph" w:styleId="BalloonText">
    <w:name w:val="Balloon Text"/>
    <w:basedOn w:val="Normal"/>
    <w:link w:val="BalloonTextChar"/>
    <w:uiPriority w:val="99"/>
    <w:semiHidden/>
    <w:unhideWhenUsed/>
    <w:rsid w:val="005D7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7541">
      <w:bodyDiv w:val="1"/>
      <w:marLeft w:val="0"/>
      <w:marRight w:val="0"/>
      <w:marTop w:val="0"/>
      <w:marBottom w:val="0"/>
      <w:divBdr>
        <w:top w:val="none" w:sz="0" w:space="0" w:color="auto"/>
        <w:left w:val="none" w:sz="0" w:space="0" w:color="auto"/>
        <w:bottom w:val="none" w:sz="0" w:space="0" w:color="auto"/>
        <w:right w:val="none" w:sz="0" w:space="0" w:color="auto"/>
      </w:divBdr>
    </w:div>
    <w:div w:id="171722288">
      <w:bodyDiv w:val="1"/>
      <w:marLeft w:val="0"/>
      <w:marRight w:val="0"/>
      <w:marTop w:val="0"/>
      <w:marBottom w:val="0"/>
      <w:divBdr>
        <w:top w:val="none" w:sz="0" w:space="0" w:color="auto"/>
        <w:left w:val="none" w:sz="0" w:space="0" w:color="auto"/>
        <w:bottom w:val="none" w:sz="0" w:space="0" w:color="auto"/>
        <w:right w:val="none" w:sz="0" w:space="0" w:color="auto"/>
      </w:divBdr>
    </w:div>
    <w:div w:id="370691439">
      <w:bodyDiv w:val="1"/>
      <w:marLeft w:val="0"/>
      <w:marRight w:val="0"/>
      <w:marTop w:val="0"/>
      <w:marBottom w:val="0"/>
      <w:divBdr>
        <w:top w:val="none" w:sz="0" w:space="0" w:color="auto"/>
        <w:left w:val="none" w:sz="0" w:space="0" w:color="auto"/>
        <w:bottom w:val="none" w:sz="0" w:space="0" w:color="auto"/>
        <w:right w:val="none" w:sz="0" w:space="0" w:color="auto"/>
      </w:divBdr>
    </w:div>
    <w:div w:id="507983776">
      <w:bodyDiv w:val="1"/>
      <w:marLeft w:val="0"/>
      <w:marRight w:val="0"/>
      <w:marTop w:val="0"/>
      <w:marBottom w:val="0"/>
      <w:divBdr>
        <w:top w:val="none" w:sz="0" w:space="0" w:color="auto"/>
        <w:left w:val="none" w:sz="0" w:space="0" w:color="auto"/>
        <w:bottom w:val="none" w:sz="0" w:space="0" w:color="auto"/>
        <w:right w:val="none" w:sz="0" w:space="0" w:color="auto"/>
      </w:divBdr>
    </w:div>
    <w:div w:id="553741007">
      <w:bodyDiv w:val="1"/>
      <w:marLeft w:val="0"/>
      <w:marRight w:val="0"/>
      <w:marTop w:val="0"/>
      <w:marBottom w:val="0"/>
      <w:divBdr>
        <w:top w:val="none" w:sz="0" w:space="0" w:color="auto"/>
        <w:left w:val="none" w:sz="0" w:space="0" w:color="auto"/>
        <w:bottom w:val="none" w:sz="0" w:space="0" w:color="auto"/>
        <w:right w:val="none" w:sz="0" w:space="0" w:color="auto"/>
      </w:divBdr>
      <w:divsChild>
        <w:div w:id="2118018316">
          <w:marLeft w:val="0"/>
          <w:marRight w:val="0"/>
          <w:marTop w:val="0"/>
          <w:marBottom w:val="0"/>
          <w:divBdr>
            <w:top w:val="none" w:sz="0" w:space="0" w:color="auto"/>
            <w:left w:val="none" w:sz="0" w:space="0" w:color="auto"/>
            <w:bottom w:val="none" w:sz="0" w:space="0" w:color="auto"/>
            <w:right w:val="none" w:sz="0" w:space="0" w:color="auto"/>
          </w:divBdr>
          <w:divsChild>
            <w:div w:id="1413550164">
              <w:marLeft w:val="0"/>
              <w:marRight w:val="0"/>
              <w:marTop w:val="0"/>
              <w:marBottom w:val="0"/>
              <w:divBdr>
                <w:top w:val="none" w:sz="0" w:space="0" w:color="auto"/>
                <w:left w:val="none" w:sz="0" w:space="0" w:color="auto"/>
                <w:bottom w:val="none" w:sz="0" w:space="0" w:color="auto"/>
                <w:right w:val="none" w:sz="0" w:space="0" w:color="auto"/>
              </w:divBdr>
              <w:divsChild>
                <w:div w:id="769281865">
                  <w:marLeft w:val="0"/>
                  <w:marRight w:val="0"/>
                  <w:marTop w:val="0"/>
                  <w:marBottom w:val="0"/>
                  <w:divBdr>
                    <w:top w:val="none" w:sz="0" w:space="0" w:color="auto"/>
                    <w:left w:val="none" w:sz="0" w:space="0" w:color="auto"/>
                    <w:bottom w:val="none" w:sz="0" w:space="0" w:color="auto"/>
                    <w:right w:val="none" w:sz="0" w:space="0" w:color="auto"/>
                  </w:divBdr>
                  <w:divsChild>
                    <w:div w:id="1271009539">
                      <w:marLeft w:val="0"/>
                      <w:marRight w:val="0"/>
                      <w:marTop w:val="0"/>
                      <w:marBottom w:val="240"/>
                      <w:divBdr>
                        <w:top w:val="none" w:sz="0" w:space="0" w:color="auto"/>
                        <w:left w:val="none" w:sz="0" w:space="0" w:color="auto"/>
                        <w:bottom w:val="none" w:sz="0" w:space="0" w:color="auto"/>
                        <w:right w:val="none" w:sz="0" w:space="0" w:color="auto"/>
                      </w:divBdr>
                    </w:div>
                    <w:div w:id="973633435">
                      <w:marLeft w:val="0"/>
                      <w:marRight w:val="0"/>
                      <w:marTop w:val="0"/>
                      <w:marBottom w:val="240"/>
                      <w:divBdr>
                        <w:top w:val="none" w:sz="0" w:space="0" w:color="auto"/>
                        <w:left w:val="none" w:sz="0" w:space="0" w:color="auto"/>
                        <w:bottom w:val="none" w:sz="0" w:space="0" w:color="auto"/>
                        <w:right w:val="none" w:sz="0" w:space="0" w:color="auto"/>
                      </w:divBdr>
                    </w:div>
                    <w:div w:id="343019869">
                      <w:marLeft w:val="0"/>
                      <w:marRight w:val="0"/>
                      <w:marTop w:val="0"/>
                      <w:marBottom w:val="240"/>
                      <w:divBdr>
                        <w:top w:val="none" w:sz="0" w:space="0" w:color="auto"/>
                        <w:left w:val="none" w:sz="0" w:space="0" w:color="auto"/>
                        <w:bottom w:val="none" w:sz="0" w:space="0" w:color="auto"/>
                        <w:right w:val="none" w:sz="0" w:space="0" w:color="auto"/>
                      </w:divBdr>
                    </w:div>
                    <w:div w:id="967123380">
                      <w:marLeft w:val="0"/>
                      <w:marRight w:val="0"/>
                      <w:marTop w:val="0"/>
                      <w:marBottom w:val="240"/>
                      <w:divBdr>
                        <w:top w:val="none" w:sz="0" w:space="0" w:color="auto"/>
                        <w:left w:val="none" w:sz="0" w:space="0" w:color="auto"/>
                        <w:bottom w:val="none" w:sz="0" w:space="0" w:color="auto"/>
                        <w:right w:val="none" w:sz="0" w:space="0" w:color="auto"/>
                      </w:divBdr>
                    </w:div>
                    <w:div w:id="315303009">
                      <w:marLeft w:val="0"/>
                      <w:marRight w:val="0"/>
                      <w:marTop w:val="0"/>
                      <w:marBottom w:val="240"/>
                      <w:divBdr>
                        <w:top w:val="none" w:sz="0" w:space="0" w:color="auto"/>
                        <w:left w:val="none" w:sz="0" w:space="0" w:color="auto"/>
                        <w:bottom w:val="none" w:sz="0" w:space="0" w:color="auto"/>
                        <w:right w:val="none" w:sz="0" w:space="0" w:color="auto"/>
                      </w:divBdr>
                    </w:div>
                    <w:div w:id="8880317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61986774">
      <w:bodyDiv w:val="1"/>
      <w:marLeft w:val="0"/>
      <w:marRight w:val="0"/>
      <w:marTop w:val="0"/>
      <w:marBottom w:val="0"/>
      <w:divBdr>
        <w:top w:val="none" w:sz="0" w:space="0" w:color="auto"/>
        <w:left w:val="none" w:sz="0" w:space="0" w:color="auto"/>
        <w:bottom w:val="none" w:sz="0" w:space="0" w:color="auto"/>
        <w:right w:val="none" w:sz="0" w:space="0" w:color="auto"/>
      </w:divBdr>
    </w:div>
    <w:div w:id="715079320">
      <w:bodyDiv w:val="1"/>
      <w:marLeft w:val="0"/>
      <w:marRight w:val="0"/>
      <w:marTop w:val="0"/>
      <w:marBottom w:val="0"/>
      <w:divBdr>
        <w:top w:val="none" w:sz="0" w:space="0" w:color="auto"/>
        <w:left w:val="none" w:sz="0" w:space="0" w:color="auto"/>
        <w:bottom w:val="none" w:sz="0" w:space="0" w:color="auto"/>
        <w:right w:val="none" w:sz="0" w:space="0" w:color="auto"/>
      </w:divBdr>
    </w:div>
    <w:div w:id="723329833">
      <w:bodyDiv w:val="1"/>
      <w:marLeft w:val="0"/>
      <w:marRight w:val="0"/>
      <w:marTop w:val="0"/>
      <w:marBottom w:val="0"/>
      <w:divBdr>
        <w:top w:val="none" w:sz="0" w:space="0" w:color="auto"/>
        <w:left w:val="none" w:sz="0" w:space="0" w:color="auto"/>
        <w:bottom w:val="none" w:sz="0" w:space="0" w:color="auto"/>
        <w:right w:val="none" w:sz="0" w:space="0" w:color="auto"/>
      </w:divBdr>
    </w:div>
    <w:div w:id="1069961559">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863788475">
      <w:bodyDiv w:val="1"/>
      <w:marLeft w:val="0"/>
      <w:marRight w:val="0"/>
      <w:marTop w:val="0"/>
      <w:marBottom w:val="0"/>
      <w:divBdr>
        <w:top w:val="none" w:sz="0" w:space="0" w:color="auto"/>
        <w:left w:val="none" w:sz="0" w:space="0" w:color="auto"/>
        <w:bottom w:val="none" w:sz="0" w:space="0" w:color="auto"/>
        <w:right w:val="none" w:sz="0" w:space="0" w:color="auto"/>
      </w:divBdr>
      <w:divsChild>
        <w:div w:id="1811821928">
          <w:marLeft w:val="0"/>
          <w:marRight w:val="0"/>
          <w:marTop w:val="0"/>
          <w:marBottom w:val="0"/>
          <w:divBdr>
            <w:top w:val="none" w:sz="0" w:space="0" w:color="auto"/>
            <w:left w:val="none" w:sz="0" w:space="0" w:color="auto"/>
            <w:bottom w:val="none" w:sz="0" w:space="0" w:color="auto"/>
            <w:right w:val="none" w:sz="0" w:space="0" w:color="auto"/>
          </w:divBdr>
          <w:divsChild>
            <w:div w:id="1142623172">
              <w:marLeft w:val="0"/>
              <w:marRight w:val="0"/>
              <w:marTop w:val="0"/>
              <w:marBottom w:val="0"/>
              <w:divBdr>
                <w:top w:val="none" w:sz="0" w:space="0" w:color="auto"/>
                <w:left w:val="none" w:sz="0" w:space="0" w:color="auto"/>
                <w:bottom w:val="none" w:sz="0" w:space="0" w:color="auto"/>
                <w:right w:val="none" w:sz="0" w:space="0" w:color="auto"/>
              </w:divBdr>
              <w:divsChild>
                <w:div w:id="1359889671">
                  <w:marLeft w:val="0"/>
                  <w:marRight w:val="0"/>
                  <w:marTop w:val="0"/>
                  <w:marBottom w:val="0"/>
                  <w:divBdr>
                    <w:top w:val="none" w:sz="0" w:space="0" w:color="auto"/>
                    <w:left w:val="none" w:sz="0" w:space="0" w:color="auto"/>
                    <w:bottom w:val="none" w:sz="0" w:space="0" w:color="auto"/>
                    <w:right w:val="none" w:sz="0" w:space="0" w:color="auto"/>
                  </w:divBdr>
                  <w:divsChild>
                    <w:div w:id="254829387">
                      <w:marLeft w:val="0"/>
                      <w:marRight w:val="0"/>
                      <w:marTop w:val="0"/>
                      <w:marBottom w:val="0"/>
                      <w:divBdr>
                        <w:top w:val="none" w:sz="0" w:space="0" w:color="auto"/>
                        <w:left w:val="none" w:sz="0" w:space="0" w:color="auto"/>
                        <w:bottom w:val="none" w:sz="0" w:space="0" w:color="auto"/>
                        <w:right w:val="none" w:sz="0" w:space="0" w:color="auto"/>
                      </w:divBdr>
                      <w:divsChild>
                        <w:div w:id="1915897084">
                          <w:marLeft w:val="0"/>
                          <w:marRight w:val="0"/>
                          <w:marTop w:val="0"/>
                          <w:marBottom w:val="0"/>
                          <w:divBdr>
                            <w:top w:val="none" w:sz="0" w:space="0" w:color="auto"/>
                            <w:left w:val="none" w:sz="0" w:space="0" w:color="auto"/>
                            <w:bottom w:val="none" w:sz="0" w:space="0" w:color="auto"/>
                            <w:right w:val="none" w:sz="0" w:space="0" w:color="auto"/>
                          </w:divBdr>
                          <w:divsChild>
                            <w:div w:id="1317221840">
                              <w:marLeft w:val="0"/>
                              <w:marRight w:val="0"/>
                              <w:marTop w:val="0"/>
                              <w:marBottom w:val="0"/>
                              <w:divBdr>
                                <w:top w:val="none" w:sz="0" w:space="0" w:color="auto"/>
                                <w:left w:val="none" w:sz="0" w:space="0" w:color="auto"/>
                                <w:bottom w:val="none" w:sz="0" w:space="0" w:color="auto"/>
                                <w:right w:val="none" w:sz="0" w:space="0" w:color="auto"/>
                              </w:divBdr>
                              <w:divsChild>
                                <w:div w:id="94861753">
                                  <w:marLeft w:val="0"/>
                                  <w:marRight w:val="0"/>
                                  <w:marTop w:val="0"/>
                                  <w:marBottom w:val="0"/>
                                  <w:divBdr>
                                    <w:top w:val="none" w:sz="0" w:space="0" w:color="auto"/>
                                    <w:left w:val="none" w:sz="0" w:space="0" w:color="auto"/>
                                    <w:bottom w:val="none" w:sz="0" w:space="0" w:color="auto"/>
                                    <w:right w:val="none" w:sz="0" w:space="0" w:color="auto"/>
                                  </w:divBdr>
                                  <w:divsChild>
                                    <w:div w:id="158348644">
                                      <w:marLeft w:val="0"/>
                                      <w:marRight w:val="0"/>
                                      <w:marTop w:val="0"/>
                                      <w:marBottom w:val="240"/>
                                      <w:divBdr>
                                        <w:top w:val="none" w:sz="0" w:space="0" w:color="auto"/>
                                        <w:left w:val="none" w:sz="0" w:space="0" w:color="auto"/>
                                        <w:bottom w:val="none" w:sz="0" w:space="0" w:color="auto"/>
                                        <w:right w:val="none" w:sz="0" w:space="0" w:color="auto"/>
                                      </w:divBdr>
                                    </w:div>
                                    <w:div w:id="17230933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853854">
      <w:bodyDiv w:val="1"/>
      <w:marLeft w:val="0"/>
      <w:marRight w:val="0"/>
      <w:marTop w:val="0"/>
      <w:marBottom w:val="0"/>
      <w:divBdr>
        <w:top w:val="none" w:sz="0" w:space="0" w:color="auto"/>
        <w:left w:val="none" w:sz="0" w:space="0" w:color="auto"/>
        <w:bottom w:val="none" w:sz="0" w:space="0" w:color="auto"/>
        <w:right w:val="none" w:sz="0" w:space="0" w:color="auto"/>
      </w:divBdr>
      <w:divsChild>
        <w:div w:id="1384981296">
          <w:marLeft w:val="0"/>
          <w:marRight w:val="0"/>
          <w:marTop w:val="0"/>
          <w:marBottom w:val="0"/>
          <w:divBdr>
            <w:top w:val="none" w:sz="0" w:space="0" w:color="auto"/>
            <w:left w:val="none" w:sz="0" w:space="0" w:color="auto"/>
            <w:bottom w:val="none" w:sz="0" w:space="0" w:color="auto"/>
            <w:right w:val="none" w:sz="0" w:space="0" w:color="auto"/>
          </w:divBdr>
          <w:divsChild>
            <w:div w:id="344673334">
              <w:marLeft w:val="0"/>
              <w:marRight w:val="0"/>
              <w:marTop w:val="0"/>
              <w:marBottom w:val="0"/>
              <w:divBdr>
                <w:top w:val="none" w:sz="0" w:space="0" w:color="auto"/>
                <w:left w:val="none" w:sz="0" w:space="0" w:color="auto"/>
                <w:bottom w:val="none" w:sz="0" w:space="0" w:color="auto"/>
                <w:right w:val="none" w:sz="0" w:space="0" w:color="auto"/>
              </w:divBdr>
              <w:divsChild>
                <w:div w:id="647512463">
                  <w:marLeft w:val="0"/>
                  <w:marRight w:val="0"/>
                  <w:marTop w:val="0"/>
                  <w:marBottom w:val="0"/>
                  <w:divBdr>
                    <w:top w:val="none" w:sz="0" w:space="0" w:color="auto"/>
                    <w:left w:val="none" w:sz="0" w:space="0" w:color="auto"/>
                    <w:bottom w:val="none" w:sz="0" w:space="0" w:color="auto"/>
                    <w:right w:val="none" w:sz="0" w:space="0" w:color="auto"/>
                  </w:divBdr>
                  <w:divsChild>
                    <w:div w:id="171339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04628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ca18e79-0aff-4146-8287-9affc5397fc7">
      <Terms xmlns="http://schemas.microsoft.com/office/infopath/2007/PartnerControls"/>
    </lcf76f155ced4ddcb4097134ff3c332f>
    <TaxCatchAll xmlns="fecb89f7-1030-4ef1-a5a9-de9a02e155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B6FD69CCA29D42B35618FA8C154BCF" ma:contentTypeVersion="21" ma:contentTypeDescription="Create a new document." ma:contentTypeScope="" ma:versionID="143653fb76d45e44f9689af6acb615ff">
  <xsd:schema xmlns:xsd="http://www.w3.org/2001/XMLSchema" xmlns:xs="http://www.w3.org/2001/XMLSchema" xmlns:p="http://schemas.microsoft.com/office/2006/metadata/properties" xmlns:ns1="http://schemas.microsoft.com/sharepoint/v3" xmlns:ns2="fecb89f7-1030-4ef1-a5a9-de9a02e1554d" xmlns:ns3="4ca18e79-0aff-4146-8287-9affc5397fc7" targetNamespace="http://schemas.microsoft.com/office/2006/metadata/properties" ma:root="true" ma:fieldsID="b1cefab567fc2f4da71097627f0c1885" ns1:_="" ns2:_="" ns3:_="">
    <xsd:import namespace="http://schemas.microsoft.com/sharepoint/v3"/>
    <xsd:import namespace="fecb89f7-1030-4ef1-a5a9-de9a02e1554d"/>
    <xsd:import namespace="4ca18e79-0aff-4146-8287-9affc5397f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b89f7-1030-4ef1-a5a9-de9a02e155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8e0c667-f7ca-480c-89ae-b26b3cbcb3f7}" ma:internalName="TaxCatchAll" ma:showField="CatchAllData" ma:web="fecb89f7-1030-4ef1-a5a9-de9a02e155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a18e79-0aff-4146-8287-9affc5397f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0e1a159-1b54-4374-826e-41d5386e6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C5893-274A-4915-A726-FA2FB2F0CA85}">
  <ds:schemaRefs>
    <ds:schemaRef ds:uri="http://schemas.microsoft.com/office/2006/metadata/properties"/>
    <ds:schemaRef ds:uri="http://schemas.microsoft.com/office/infopath/2007/PartnerControls"/>
    <ds:schemaRef ds:uri="http://schemas.microsoft.com/sharepoint/v3"/>
    <ds:schemaRef ds:uri="4ca18e79-0aff-4146-8287-9affc5397fc7"/>
    <ds:schemaRef ds:uri="fecb89f7-1030-4ef1-a5a9-de9a02e1554d"/>
  </ds:schemaRefs>
</ds:datastoreItem>
</file>

<file path=customXml/itemProps2.xml><?xml version="1.0" encoding="utf-8"?>
<ds:datastoreItem xmlns:ds="http://schemas.openxmlformats.org/officeDocument/2006/customXml" ds:itemID="{DF5236AD-AF95-4A52-991C-8390028AF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cb89f7-1030-4ef1-a5a9-de9a02e1554d"/>
    <ds:schemaRef ds:uri="4ca18e79-0aff-4146-8287-9affc5397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C92D8-2A9D-4DFF-9A48-B040F9618435}">
  <ds:schemaRefs>
    <ds:schemaRef ds:uri="http://schemas.openxmlformats.org/officeDocument/2006/bibliography"/>
  </ds:schemaRefs>
</ds:datastoreItem>
</file>

<file path=customXml/itemProps4.xml><?xml version="1.0" encoding="utf-8"?>
<ds:datastoreItem xmlns:ds="http://schemas.openxmlformats.org/officeDocument/2006/customXml" ds:itemID="{3DBB7167-5267-40B1-8F3B-D7E28511A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Whitnee Morse</dc:creator>
  <cp:keywords/>
  <dc:description/>
  <cp:lastModifiedBy>Nikki Figueroa</cp:lastModifiedBy>
  <cp:revision>2</cp:revision>
  <cp:lastPrinted>2019-06-13T21:58:00Z</cp:lastPrinted>
  <dcterms:created xsi:type="dcterms:W3CDTF">2026-03-03T20:20:00Z</dcterms:created>
  <dcterms:modified xsi:type="dcterms:W3CDTF">2026-03-03T20:20:00Z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0x01010065B6FD69CCA29D42B35618FA8C154BCF</vt:lpwstr>
  </property>
  <property fmtid="{D5CDD505-2E9C-101B-9397-08002B2CF9AE}" pid="3" name="Order">
    <vt:r8>3321400</vt:r8>
  </property>
  <property fmtid="{D5CDD505-2E9C-101B-9397-08002B2CF9AE}" pid="4" name="MediaServiceImageTags">
    <vt:lpwstr/>
  </property>
</Properties>
</file>